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C6955" w14:textId="4C42B4BA" w:rsidR="00E14B97" w:rsidRPr="00E15BBC" w:rsidRDefault="00626748" w:rsidP="00E15BBC">
      <w:pPr>
        <w:jc w:val="center"/>
        <w:rPr>
          <w:b/>
          <w:bCs/>
          <w:sz w:val="28"/>
          <w:szCs w:val="28"/>
        </w:rPr>
      </w:pPr>
      <w:r w:rsidRPr="00626748">
        <w:rPr>
          <w:b/>
          <w:bCs/>
          <w:sz w:val="28"/>
          <w:szCs w:val="28"/>
        </w:rPr>
        <w:t>Technical Support Fee Agreement</w:t>
      </w:r>
    </w:p>
    <w:p w14:paraId="085590FA" w14:textId="77777777" w:rsidR="00E15BBC" w:rsidRDefault="00E15BBC" w:rsidP="00E14B97"/>
    <w:p w14:paraId="73B6CE0B" w14:textId="735AE27B" w:rsidR="00A50D3E" w:rsidRDefault="00E15BBC" w:rsidP="00E14B97">
      <w:r w:rsidRPr="00E15BBC">
        <w:t xml:space="preserve">This </w:t>
      </w:r>
      <w:r w:rsidR="00626748" w:rsidRPr="00626748">
        <w:t>Technical Support Fee Agreement</w:t>
      </w:r>
      <w:r w:rsidRPr="00E15BBC">
        <w:t xml:space="preserve"> (“</w:t>
      </w:r>
      <w:r w:rsidRPr="00421F70">
        <w:rPr>
          <w:b/>
          <w:bCs/>
        </w:rPr>
        <w:t>Agreement</w:t>
      </w:r>
      <w:r w:rsidRPr="00E15BBC">
        <w:t>”) is made</w:t>
      </w:r>
      <w:r w:rsidR="00626748">
        <w:rPr>
          <w:rFonts w:hint="eastAsia"/>
        </w:rPr>
        <w:t xml:space="preserve"> </w:t>
      </w:r>
      <w:r w:rsidR="00626748" w:rsidRPr="00626748">
        <w:t>and entered into</w:t>
      </w:r>
      <w:r w:rsidRPr="00E15BBC">
        <w:t xml:space="preserve"> </w:t>
      </w:r>
      <w:r w:rsidR="00A50D3E" w:rsidRPr="00A50D3E">
        <w:t xml:space="preserve">by and </w:t>
      </w:r>
      <w:r w:rsidRPr="00E15BBC">
        <w:t>between</w:t>
      </w:r>
      <w:r w:rsidR="00194678">
        <w:rPr>
          <w:rFonts w:hint="eastAsia"/>
        </w:rPr>
        <w:t xml:space="preserve"> </w:t>
      </w:r>
      <w:r w:rsidR="00194678" w:rsidRPr="00194678">
        <w:t>the following parties:</w:t>
      </w:r>
      <w:r w:rsidRPr="00E15BBC">
        <w:t xml:space="preserve"> </w:t>
      </w:r>
    </w:p>
    <w:p w14:paraId="30EB45DB" w14:textId="77777777" w:rsidR="00194678" w:rsidRDefault="00194678" w:rsidP="00E14B97"/>
    <w:p w14:paraId="4651E6BA" w14:textId="77777777" w:rsidR="00194678" w:rsidRDefault="00194678" w:rsidP="00194678">
      <w:pPr>
        <w:pStyle w:val="ListParagraph"/>
        <w:numPr>
          <w:ilvl w:val="0"/>
          <w:numId w:val="1"/>
        </w:numPr>
        <w:ind w:left="567" w:hanging="567"/>
      </w:pPr>
      <w:r w:rsidRPr="005B002A">
        <w:rPr>
          <w:b/>
          <w:bCs/>
        </w:rPr>
        <w:t>LEADVISOR GLOBAL LIMITED</w:t>
      </w:r>
      <w:r w:rsidRPr="00421F70">
        <w:t xml:space="preserve"> (“</w:t>
      </w:r>
      <w:proofErr w:type="spellStart"/>
      <w:r w:rsidRPr="00421F70">
        <w:rPr>
          <w:b/>
          <w:bCs/>
        </w:rPr>
        <w:t>Leadvisor</w:t>
      </w:r>
      <w:proofErr w:type="spellEnd"/>
      <w:r w:rsidRPr="00421F70">
        <w:rPr>
          <w:b/>
          <w:bCs/>
        </w:rPr>
        <w:t xml:space="preserve"> Global</w:t>
      </w:r>
      <w:r w:rsidRPr="00421F70">
        <w:t xml:space="preserve">”), a </w:t>
      </w:r>
      <w:r>
        <w:rPr>
          <w:rFonts w:hint="eastAsia"/>
        </w:rPr>
        <w:t>company</w:t>
      </w:r>
      <w:r w:rsidRPr="00421F70">
        <w:t xml:space="preserve"> duly incorporated and existing under the laws of the Hong Kong Special Administrative Region of the People’s Republic of China</w:t>
      </w:r>
      <w:r>
        <w:rPr>
          <w:rFonts w:hint="eastAsia"/>
        </w:rPr>
        <w:t xml:space="preserve"> (</w:t>
      </w:r>
      <w:r>
        <w:t>“</w:t>
      </w:r>
      <w:r w:rsidRPr="000C369B">
        <w:rPr>
          <w:rFonts w:hint="eastAsia"/>
          <w:b/>
          <w:bCs/>
        </w:rPr>
        <w:t>Hong Kong</w:t>
      </w:r>
      <w:r>
        <w:t>”</w:t>
      </w:r>
      <w:r>
        <w:rPr>
          <w:rFonts w:hint="eastAsia"/>
        </w:rPr>
        <w:t>)</w:t>
      </w:r>
      <w:r w:rsidRPr="00421F70">
        <w:t>, with business registration number of 75272375</w:t>
      </w:r>
      <w:r>
        <w:rPr>
          <w:rFonts w:hint="eastAsia"/>
        </w:rPr>
        <w:t>; and</w:t>
      </w:r>
    </w:p>
    <w:p w14:paraId="4F0D434A" w14:textId="77777777" w:rsidR="00194678" w:rsidRDefault="00194678" w:rsidP="00194678">
      <w:pPr>
        <w:pStyle w:val="ListParagraph"/>
        <w:ind w:left="440"/>
      </w:pPr>
    </w:p>
    <w:p w14:paraId="4ADB3FEE" w14:textId="7C9EF391" w:rsidR="00194678" w:rsidRDefault="00194678" w:rsidP="00194678">
      <w:pPr>
        <w:pStyle w:val="ListParagraph"/>
        <w:numPr>
          <w:ilvl w:val="0"/>
          <w:numId w:val="1"/>
        </w:numPr>
        <w:ind w:left="567" w:hanging="567"/>
      </w:pPr>
      <w:r w:rsidRPr="005B002A">
        <w:rPr>
          <w:rFonts w:hint="eastAsia"/>
          <w:b/>
          <w:bCs/>
        </w:rPr>
        <w:t>[</w:t>
      </w:r>
      <w:r>
        <w:rPr>
          <w:rFonts w:hint="eastAsia"/>
          <w:b/>
          <w:bCs/>
        </w:rPr>
        <w:t>Member</w:t>
      </w:r>
      <w:r w:rsidRPr="005B002A">
        <w:rPr>
          <w:rFonts w:hint="eastAsia"/>
          <w:b/>
          <w:bCs/>
        </w:rPr>
        <w:t xml:space="preserve"> Name]</w:t>
      </w:r>
      <w:r>
        <w:rPr>
          <w:rFonts w:hint="eastAsia"/>
        </w:rPr>
        <w:t xml:space="preserve"> </w:t>
      </w:r>
      <w:r w:rsidRPr="00B364B6">
        <w:rPr>
          <w:rFonts w:hint="eastAsia"/>
        </w:rPr>
        <w:t xml:space="preserve">(the </w:t>
      </w:r>
      <w:r w:rsidRPr="00B364B6">
        <w:t>“</w:t>
      </w:r>
      <w:r w:rsidR="00B364B6" w:rsidRPr="00B364B6">
        <w:rPr>
          <w:b/>
          <w:bCs/>
        </w:rPr>
        <w:t>Participating</w:t>
      </w:r>
      <w:r w:rsidR="00B364B6" w:rsidRPr="00B364B6">
        <w:rPr>
          <w:rFonts w:hint="eastAsia"/>
        </w:rPr>
        <w:t xml:space="preserve"> </w:t>
      </w:r>
      <w:r w:rsidRPr="00B364B6">
        <w:rPr>
          <w:rFonts w:hint="eastAsia"/>
          <w:b/>
          <w:bCs/>
        </w:rPr>
        <w:t>Member</w:t>
      </w:r>
      <w:r w:rsidRPr="00B364B6">
        <w:t>”</w:t>
      </w:r>
      <w:r w:rsidRPr="00B364B6">
        <w:rPr>
          <w:rFonts w:hint="eastAsia"/>
        </w:rPr>
        <w:t>)</w:t>
      </w:r>
      <w:r>
        <w:rPr>
          <w:rFonts w:hint="eastAsia"/>
        </w:rPr>
        <w:t>.</w:t>
      </w:r>
    </w:p>
    <w:p w14:paraId="5E8D0E3B" w14:textId="77777777" w:rsidR="00A50D3E" w:rsidRDefault="00A50D3E" w:rsidP="00E14B97"/>
    <w:p w14:paraId="79B18628" w14:textId="62D50099" w:rsidR="00E15BBC" w:rsidRDefault="0053328A" w:rsidP="00E14B97">
      <w:r w:rsidRPr="00995D15">
        <w:rPr>
          <w:rFonts w:hint="eastAsia"/>
        </w:rPr>
        <w:t xml:space="preserve">The above </w:t>
      </w:r>
      <w:r w:rsidR="001D6C95" w:rsidRPr="00995D15">
        <w:rPr>
          <w:rFonts w:hint="eastAsia"/>
        </w:rPr>
        <w:t>parties</w:t>
      </w:r>
      <w:r w:rsidR="00E15BBC" w:rsidRPr="00995D15">
        <w:t xml:space="preserve"> </w:t>
      </w:r>
      <w:r w:rsidRPr="00995D15">
        <w:t>are referred to herein individually as a “</w:t>
      </w:r>
      <w:r w:rsidR="001D6C95" w:rsidRPr="00995D15">
        <w:rPr>
          <w:b/>
          <w:bCs/>
        </w:rPr>
        <w:t>Party</w:t>
      </w:r>
      <w:r w:rsidRPr="00995D15">
        <w:t>” and collectively as the “</w:t>
      </w:r>
      <w:r w:rsidR="001D6C95" w:rsidRPr="00995D15">
        <w:rPr>
          <w:b/>
          <w:bCs/>
        </w:rPr>
        <w:t>Parties</w:t>
      </w:r>
      <w:r w:rsidRPr="00995D15">
        <w:t>”.</w:t>
      </w:r>
    </w:p>
    <w:p w14:paraId="64D801C5" w14:textId="77777777" w:rsidR="003910B3" w:rsidRDefault="003910B3" w:rsidP="00C154FC">
      <w:pPr>
        <w:rPr>
          <w:b/>
          <w:bCs/>
        </w:rPr>
      </w:pPr>
    </w:p>
    <w:p w14:paraId="0A2444EE" w14:textId="6016C6DD" w:rsidR="00E14B97" w:rsidRDefault="00C154FC" w:rsidP="00C154FC">
      <w:r>
        <w:rPr>
          <w:rFonts w:hint="eastAsia"/>
          <w:b/>
          <w:bCs/>
        </w:rPr>
        <w:t>Whereas:</w:t>
      </w:r>
    </w:p>
    <w:p w14:paraId="2C75226C" w14:textId="77777777" w:rsidR="00E14B97" w:rsidRDefault="00E14B97" w:rsidP="00E14B97"/>
    <w:p w14:paraId="08DF01E6" w14:textId="00C4C373" w:rsidR="00E14B97" w:rsidRDefault="000F66D5" w:rsidP="000671D7">
      <w:pPr>
        <w:pStyle w:val="ListParagraph"/>
        <w:numPr>
          <w:ilvl w:val="0"/>
          <w:numId w:val="4"/>
        </w:numPr>
        <w:ind w:left="567" w:hanging="567"/>
      </w:pPr>
      <w:proofErr w:type="spellStart"/>
      <w:r w:rsidRPr="000F66D5">
        <w:t>Leadvisor</w:t>
      </w:r>
      <w:proofErr w:type="spellEnd"/>
      <w:r w:rsidRPr="000F66D5">
        <w:t xml:space="preserve"> </w:t>
      </w:r>
      <w:r w:rsidR="00F96FB2">
        <w:rPr>
          <w:rFonts w:hint="eastAsia"/>
        </w:rPr>
        <w:t>operates</w:t>
      </w:r>
      <w:r w:rsidRPr="000F66D5">
        <w:t xml:space="preserve"> </w:t>
      </w:r>
      <w:r w:rsidR="003E7B60">
        <w:rPr>
          <w:rFonts w:hint="eastAsia"/>
        </w:rPr>
        <w:t>t</w:t>
      </w:r>
      <w:r w:rsidR="003E7B60" w:rsidRPr="008E54C8">
        <w:rPr>
          <w:rFonts w:hint="eastAsia"/>
        </w:rPr>
        <w:t>he Platform</w:t>
      </w:r>
      <w:r w:rsidR="003E7B60">
        <w:rPr>
          <w:rFonts w:hint="eastAsia"/>
        </w:rPr>
        <w:t xml:space="preserve"> </w:t>
      </w:r>
      <w:r w:rsidRPr="000F66D5">
        <w:t xml:space="preserve">and provides its </w:t>
      </w:r>
      <w:proofErr w:type="gramStart"/>
      <w:r w:rsidR="00AF588F">
        <w:rPr>
          <w:rFonts w:hint="eastAsia"/>
        </w:rPr>
        <w:t>Members</w:t>
      </w:r>
      <w:proofErr w:type="gramEnd"/>
      <w:r w:rsidRPr="000F66D5">
        <w:t xml:space="preserve"> with access to digital infrastructure, knowledge sharing systems, AI tools, training, branding and cross-selling mechanisms, thereby offering technical support to assist </w:t>
      </w:r>
      <w:r w:rsidR="00DC7152" w:rsidRPr="00DC7152">
        <w:t>Members</w:t>
      </w:r>
      <w:r w:rsidRPr="000F66D5">
        <w:t xml:space="preserve"> in developing business opportunities globally.</w:t>
      </w:r>
    </w:p>
    <w:p w14:paraId="6E5898D0" w14:textId="77777777" w:rsidR="00E14B97" w:rsidRDefault="00E14B97" w:rsidP="00E14B97"/>
    <w:p w14:paraId="1AD367B8" w14:textId="6EE1B992" w:rsidR="005E1636" w:rsidRPr="005E1636" w:rsidRDefault="00082797" w:rsidP="00E14B97">
      <w:pPr>
        <w:pStyle w:val="ListParagraph"/>
        <w:numPr>
          <w:ilvl w:val="0"/>
          <w:numId w:val="4"/>
        </w:numPr>
        <w:ind w:left="567" w:hanging="567"/>
      </w:pPr>
      <w:r w:rsidRPr="00082797">
        <w:t xml:space="preserve">The </w:t>
      </w:r>
      <w:r w:rsidR="00074C40" w:rsidRPr="00074C40">
        <w:t xml:space="preserve">Participating </w:t>
      </w:r>
      <w:r w:rsidRPr="00082797">
        <w:t>Member</w:t>
      </w:r>
      <w:r w:rsidR="0092297F">
        <w:rPr>
          <w:rFonts w:hint="eastAsia"/>
        </w:rPr>
        <w:t xml:space="preserve"> is a Member of the Platform and</w:t>
      </w:r>
      <w:r w:rsidRPr="00082797">
        <w:t xml:space="preserve"> promotes and sells its professional services</w:t>
      </w:r>
      <w:r>
        <w:rPr>
          <w:rFonts w:hint="eastAsia"/>
        </w:rPr>
        <w:t xml:space="preserve"> and/or products</w:t>
      </w:r>
      <w:r w:rsidRPr="00082797">
        <w:t xml:space="preserve"> internationally through the Platform and acknowledges the importance of cross-referrals among Members. </w:t>
      </w:r>
    </w:p>
    <w:p w14:paraId="70C91594" w14:textId="77777777" w:rsidR="005E1636" w:rsidRDefault="005E1636" w:rsidP="00E14B97"/>
    <w:p w14:paraId="3986909B" w14:textId="6D996846" w:rsidR="00995D15" w:rsidRDefault="00995D15" w:rsidP="00E14B97">
      <w:r w:rsidRPr="00995D15">
        <w:t xml:space="preserve">NOW, THEREFORE, in consideration of the mutual covenants and promises herein contained, the </w:t>
      </w:r>
      <w:r w:rsidR="009F2C0C">
        <w:rPr>
          <w:rFonts w:hint="eastAsia"/>
        </w:rPr>
        <w:t>P</w:t>
      </w:r>
      <w:r w:rsidRPr="00995D15">
        <w:t>arties hereby agree as follows:</w:t>
      </w:r>
    </w:p>
    <w:p w14:paraId="42739620" w14:textId="77777777" w:rsidR="00995D15" w:rsidRDefault="00995D15" w:rsidP="00E14B97"/>
    <w:p w14:paraId="28AED784" w14:textId="0E34C7D1" w:rsidR="00995D15" w:rsidRDefault="00C02301" w:rsidP="000671D7">
      <w:pPr>
        <w:pStyle w:val="ListParagraph"/>
        <w:numPr>
          <w:ilvl w:val="0"/>
          <w:numId w:val="2"/>
        </w:numPr>
        <w:ind w:left="567" w:hanging="567"/>
        <w:rPr>
          <w:b/>
          <w:bCs/>
        </w:rPr>
      </w:pPr>
      <w:r w:rsidRPr="00C02301">
        <w:rPr>
          <w:b/>
          <w:bCs/>
        </w:rPr>
        <w:t>Definitions</w:t>
      </w:r>
      <w:r w:rsidR="0059290D">
        <w:rPr>
          <w:rFonts w:hint="eastAsia"/>
          <w:b/>
          <w:bCs/>
        </w:rPr>
        <w:t xml:space="preserve"> and </w:t>
      </w:r>
      <w:r w:rsidR="0059290D" w:rsidRPr="0059290D">
        <w:rPr>
          <w:b/>
          <w:bCs/>
        </w:rPr>
        <w:t>Interpretation</w:t>
      </w:r>
    </w:p>
    <w:p w14:paraId="521C37AF" w14:textId="77777777" w:rsidR="006363A7" w:rsidRDefault="006363A7" w:rsidP="006363A7"/>
    <w:p w14:paraId="43A6B1C4" w14:textId="5F296533" w:rsidR="00C02301" w:rsidRPr="008E1528" w:rsidRDefault="00C02301" w:rsidP="006363A7">
      <w:pPr>
        <w:pStyle w:val="ListParagraph"/>
        <w:numPr>
          <w:ilvl w:val="0"/>
          <w:numId w:val="24"/>
        </w:numPr>
        <w:ind w:left="567" w:hanging="567"/>
      </w:pPr>
      <w:r w:rsidRPr="00C02301">
        <w:t xml:space="preserve">Unless otherwise defined herein, the </w:t>
      </w:r>
      <w:r w:rsidR="00DA5D33" w:rsidRPr="00DA5D33">
        <w:t xml:space="preserve">capitalized </w:t>
      </w:r>
      <w:r w:rsidRPr="00C02301">
        <w:t xml:space="preserve">terms used in this Agreement shall have the meanings given to them in </w:t>
      </w:r>
      <w:r w:rsidRPr="006363A7">
        <w:rPr>
          <w:b/>
          <w:bCs/>
          <w:i/>
          <w:iCs/>
        </w:rPr>
        <w:t>Schedule 1: List of Definitions</w:t>
      </w:r>
      <w:r w:rsidRPr="00C02301">
        <w:t xml:space="preserve"> as published in the Platform’s Rules Center (available at: https://www.leadvisor.net/zh/platform/rules-center).</w:t>
      </w:r>
      <w:r w:rsidR="008E1528">
        <w:rPr>
          <w:rFonts w:hint="eastAsia"/>
        </w:rPr>
        <w:t xml:space="preserve"> </w:t>
      </w:r>
    </w:p>
    <w:p w14:paraId="787AE76B" w14:textId="77777777" w:rsidR="00C02301" w:rsidRDefault="00C02301" w:rsidP="00C02301">
      <w:pPr>
        <w:pStyle w:val="ListParagraph"/>
        <w:ind w:left="567"/>
        <w:rPr>
          <w:b/>
          <w:bC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321"/>
      </w:tblGrid>
      <w:tr w:rsidR="00E74933" w:rsidRPr="006363A7" w14:paraId="0C37D339" w14:textId="77777777" w:rsidTr="006E4715">
        <w:tc>
          <w:tcPr>
            <w:tcW w:w="1418" w:type="dxa"/>
          </w:tcPr>
          <w:p w14:paraId="04435EB3" w14:textId="6AF45B2C" w:rsidR="00E74933" w:rsidRPr="006363A7" w:rsidRDefault="00E74933" w:rsidP="00E74933">
            <w:pPr>
              <w:pStyle w:val="ListParagraph"/>
              <w:ind w:left="0"/>
            </w:pPr>
            <w:r w:rsidRPr="006363A7">
              <w:t>Business Collaborator</w:t>
            </w:r>
          </w:p>
        </w:tc>
        <w:tc>
          <w:tcPr>
            <w:tcW w:w="6321" w:type="dxa"/>
          </w:tcPr>
          <w:p w14:paraId="2794A2D7" w14:textId="701E3EE3" w:rsidR="00E74933" w:rsidRPr="00FF4AC9" w:rsidRDefault="00E74933" w:rsidP="00E74933">
            <w:pPr>
              <w:pStyle w:val="ListParagraph"/>
              <w:ind w:left="0"/>
            </w:pPr>
            <w:r w:rsidRPr="00E74933">
              <w:t>means any individual or entity successfully referred by the Platform or by a Referring Member to a Receiving Member, and that subsequently enters into a commercial arrangement with the Receiving Member, including but not limited to joint ventures, equity investments, or other forms of business collaboration.</w:t>
            </w:r>
          </w:p>
        </w:tc>
      </w:tr>
      <w:tr w:rsidR="00E74933" w:rsidRPr="006363A7" w14:paraId="69920E65" w14:textId="77777777" w:rsidTr="006E4715">
        <w:tc>
          <w:tcPr>
            <w:tcW w:w="1418" w:type="dxa"/>
          </w:tcPr>
          <w:p w14:paraId="586B8571" w14:textId="77777777" w:rsidR="00E74933" w:rsidRPr="006363A7" w:rsidRDefault="00E74933" w:rsidP="00C02301">
            <w:pPr>
              <w:pStyle w:val="ListParagraph"/>
              <w:ind w:left="0"/>
            </w:pPr>
          </w:p>
        </w:tc>
        <w:tc>
          <w:tcPr>
            <w:tcW w:w="6321" w:type="dxa"/>
          </w:tcPr>
          <w:p w14:paraId="2FEB1BB0" w14:textId="77777777" w:rsidR="00E74933" w:rsidRPr="00FF4AC9" w:rsidRDefault="00E74933" w:rsidP="00C02301">
            <w:pPr>
              <w:pStyle w:val="ListParagraph"/>
              <w:ind w:left="0"/>
            </w:pPr>
          </w:p>
        </w:tc>
      </w:tr>
      <w:tr w:rsidR="006363A7" w:rsidRPr="006363A7" w14:paraId="379DB437" w14:textId="77777777" w:rsidTr="006E4715">
        <w:tc>
          <w:tcPr>
            <w:tcW w:w="1418" w:type="dxa"/>
          </w:tcPr>
          <w:p w14:paraId="15E740E8" w14:textId="137B8349" w:rsidR="006363A7" w:rsidRPr="006363A7" w:rsidRDefault="006363A7" w:rsidP="00C02301">
            <w:pPr>
              <w:pStyle w:val="ListParagraph"/>
              <w:ind w:left="0"/>
            </w:pPr>
            <w:r w:rsidRPr="006363A7">
              <w:t>Client</w:t>
            </w:r>
          </w:p>
        </w:tc>
        <w:tc>
          <w:tcPr>
            <w:tcW w:w="6321" w:type="dxa"/>
          </w:tcPr>
          <w:p w14:paraId="63B1D0A2" w14:textId="29E66BDD" w:rsidR="006363A7" w:rsidRPr="006363A7" w:rsidRDefault="0075046E" w:rsidP="00C02301">
            <w:pPr>
              <w:pStyle w:val="ListParagraph"/>
              <w:ind w:left="0"/>
            </w:pPr>
            <w:r w:rsidRPr="0075046E">
              <w:t>means any c</w:t>
            </w:r>
            <w:r w:rsidR="00857193">
              <w:rPr>
                <w:rFonts w:hint="eastAsia"/>
              </w:rPr>
              <w:t>lient</w:t>
            </w:r>
            <w:r w:rsidRPr="0075046E">
              <w:t xml:space="preserve"> successfully referred by the Platform or by a Referring Member to a Receiving Member, and that subsequently purchases products or services from the Receiving Member.</w:t>
            </w:r>
          </w:p>
        </w:tc>
      </w:tr>
      <w:tr w:rsidR="005E26A9" w:rsidRPr="006363A7" w14:paraId="7A432A70" w14:textId="77777777" w:rsidTr="006E4715">
        <w:tc>
          <w:tcPr>
            <w:tcW w:w="1418" w:type="dxa"/>
          </w:tcPr>
          <w:p w14:paraId="737DFE55" w14:textId="77777777" w:rsidR="005E26A9" w:rsidRPr="006363A7" w:rsidRDefault="005E26A9" w:rsidP="00C02301">
            <w:pPr>
              <w:pStyle w:val="ListParagraph"/>
              <w:ind w:left="0"/>
            </w:pPr>
          </w:p>
        </w:tc>
        <w:tc>
          <w:tcPr>
            <w:tcW w:w="6321" w:type="dxa"/>
          </w:tcPr>
          <w:p w14:paraId="43930567" w14:textId="77777777" w:rsidR="005E26A9" w:rsidRPr="0075046E" w:rsidRDefault="005E26A9" w:rsidP="00C02301">
            <w:pPr>
              <w:pStyle w:val="ListParagraph"/>
              <w:ind w:left="0"/>
            </w:pPr>
          </w:p>
        </w:tc>
      </w:tr>
      <w:tr w:rsidR="005E26A9" w:rsidRPr="006363A7" w14:paraId="7AC73A31" w14:textId="77777777" w:rsidTr="006E4715">
        <w:tc>
          <w:tcPr>
            <w:tcW w:w="1418" w:type="dxa"/>
          </w:tcPr>
          <w:p w14:paraId="2ACFBA81" w14:textId="7B6C93E1" w:rsidR="005E26A9" w:rsidRPr="006363A7" w:rsidRDefault="005E26A9" w:rsidP="00C02301">
            <w:pPr>
              <w:pStyle w:val="ListParagraph"/>
              <w:ind w:left="0"/>
            </w:pPr>
            <w:r>
              <w:rPr>
                <w:rFonts w:hint="eastAsia"/>
              </w:rPr>
              <w:lastRenderedPageBreak/>
              <w:t>Hong Kong</w:t>
            </w:r>
          </w:p>
        </w:tc>
        <w:tc>
          <w:tcPr>
            <w:tcW w:w="6321" w:type="dxa"/>
          </w:tcPr>
          <w:p w14:paraId="7E32B7EF" w14:textId="74DE98C7" w:rsidR="005E26A9" w:rsidRPr="0075046E" w:rsidRDefault="005E26A9" w:rsidP="00C02301">
            <w:pPr>
              <w:pStyle w:val="ListParagraph"/>
              <w:ind w:left="0"/>
            </w:pPr>
            <w:r>
              <w:t>has</w:t>
            </w:r>
            <w:r>
              <w:rPr>
                <w:rFonts w:hint="eastAsia"/>
              </w:rPr>
              <w:t xml:space="preserve"> </w:t>
            </w:r>
            <w:r w:rsidRPr="005E26A9">
              <w:t>the meaning given to it in the preamble of this Agreement</w:t>
            </w:r>
            <w:r>
              <w:rPr>
                <w:rFonts w:hint="eastAsia"/>
              </w:rPr>
              <w:t>.</w:t>
            </w:r>
          </w:p>
        </w:tc>
      </w:tr>
      <w:tr w:rsidR="005A09C9" w:rsidRPr="006363A7" w14:paraId="0FFD3895" w14:textId="77777777" w:rsidTr="006E4715">
        <w:tc>
          <w:tcPr>
            <w:tcW w:w="1418" w:type="dxa"/>
          </w:tcPr>
          <w:p w14:paraId="54668692" w14:textId="77777777" w:rsidR="005A09C9" w:rsidRPr="006363A7" w:rsidRDefault="005A09C9" w:rsidP="00C02301">
            <w:pPr>
              <w:pStyle w:val="ListParagraph"/>
              <w:ind w:left="0"/>
            </w:pPr>
          </w:p>
        </w:tc>
        <w:tc>
          <w:tcPr>
            <w:tcW w:w="6321" w:type="dxa"/>
          </w:tcPr>
          <w:p w14:paraId="7C457743" w14:textId="77777777" w:rsidR="005A09C9" w:rsidRPr="0075046E" w:rsidRDefault="005A09C9" w:rsidP="00C02301">
            <w:pPr>
              <w:pStyle w:val="ListParagraph"/>
              <w:ind w:left="0"/>
            </w:pPr>
          </w:p>
        </w:tc>
      </w:tr>
      <w:tr w:rsidR="005A09C9" w:rsidRPr="006363A7" w14:paraId="5B456EA4" w14:textId="77777777" w:rsidTr="006E4715">
        <w:tc>
          <w:tcPr>
            <w:tcW w:w="1418" w:type="dxa"/>
          </w:tcPr>
          <w:p w14:paraId="7BFFD004" w14:textId="1D1DEFFE" w:rsidR="005A09C9" w:rsidRPr="006363A7" w:rsidRDefault="005A09C9" w:rsidP="00C02301">
            <w:pPr>
              <w:pStyle w:val="ListParagraph"/>
              <w:ind w:left="0"/>
            </w:pPr>
            <w:r w:rsidRPr="005A09C9">
              <w:t>Net Fees</w:t>
            </w:r>
          </w:p>
        </w:tc>
        <w:tc>
          <w:tcPr>
            <w:tcW w:w="6321" w:type="dxa"/>
          </w:tcPr>
          <w:p w14:paraId="7F68D3CC" w14:textId="77777777" w:rsidR="005A09C9" w:rsidRDefault="005A09C9" w:rsidP="00C02301">
            <w:pPr>
              <w:pStyle w:val="ListParagraph"/>
              <w:ind w:left="0"/>
            </w:pPr>
            <w:r w:rsidRPr="005A09C9">
              <w:t>means:</w:t>
            </w:r>
          </w:p>
          <w:p w14:paraId="1FB759F7" w14:textId="58031C17" w:rsidR="005A09C9" w:rsidRDefault="005A09C9" w:rsidP="005A09C9">
            <w:pPr>
              <w:pStyle w:val="ListParagraph"/>
              <w:numPr>
                <w:ilvl w:val="0"/>
                <w:numId w:val="25"/>
              </w:numPr>
            </w:pPr>
            <w:r w:rsidRPr="005A09C9">
              <w:t xml:space="preserve">in the case of a </w:t>
            </w:r>
            <w:proofErr w:type="gramStart"/>
            <w:r w:rsidRPr="005A09C9">
              <w:t>Client</w:t>
            </w:r>
            <w:proofErr w:type="gramEnd"/>
            <w:r w:rsidRPr="005A09C9">
              <w:t xml:space="preserve">, all service fees and product sales revenues </w:t>
            </w:r>
            <w:proofErr w:type="gramStart"/>
            <w:r w:rsidRPr="005A09C9">
              <w:t>actually received</w:t>
            </w:r>
            <w:proofErr w:type="gramEnd"/>
            <w:r w:rsidRPr="005A09C9">
              <w:t xml:space="preserve"> by the Receiving Member from such Client; and</w:t>
            </w:r>
          </w:p>
          <w:p w14:paraId="5B102D9D" w14:textId="7ABC2A8A" w:rsidR="005A09C9" w:rsidRDefault="005A09C9" w:rsidP="005A09C9">
            <w:pPr>
              <w:pStyle w:val="ListParagraph"/>
              <w:numPr>
                <w:ilvl w:val="0"/>
                <w:numId w:val="25"/>
              </w:numPr>
            </w:pPr>
            <w:r w:rsidRPr="005A09C9">
              <w:t xml:space="preserve">in the case of a Business Collaborator, </w:t>
            </w:r>
            <w:r w:rsidR="0044558C" w:rsidRPr="0044558C">
              <w:t>all forms of financial benefit, including fees, revenue, distributions, dividends, and profit shares, actually received by the Receiving Member from its commercial arrangement with a Business Collaborator.</w:t>
            </w:r>
            <w:r w:rsidRPr="005A09C9">
              <w:t>;</w:t>
            </w:r>
          </w:p>
          <w:p w14:paraId="1FDC235D" w14:textId="13DDBEC5" w:rsidR="005A09C9" w:rsidRPr="0075046E" w:rsidRDefault="005A09C9" w:rsidP="005A09C9">
            <w:r w:rsidRPr="005A09C9">
              <w:t>provided that, in either case, Net Fees shall exclude any regulatory charges, external legal fees and disbursements actually paid out of the amounts received by the Receiving Member.</w:t>
            </w:r>
          </w:p>
        </w:tc>
      </w:tr>
      <w:tr w:rsidR="006363A7" w:rsidRPr="006363A7" w14:paraId="2731B097" w14:textId="77777777" w:rsidTr="006E4715">
        <w:tc>
          <w:tcPr>
            <w:tcW w:w="1418" w:type="dxa"/>
          </w:tcPr>
          <w:p w14:paraId="381761E5" w14:textId="77777777" w:rsidR="006363A7" w:rsidRPr="006363A7" w:rsidRDefault="006363A7" w:rsidP="00C02301">
            <w:pPr>
              <w:pStyle w:val="ListParagraph"/>
              <w:ind w:left="0"/>
            </w:pPr>
          </w:p>
        </w:tc>
        <w:tc>
          <w:tcPr>
            <w:tcW w:w="6321" w:type="dxa"/>
          </w:tcPr>
          <w:p w14:paraId="741365B4" w14:textId="77777777" w:rsidR="006363A7" w:rsidRPr="006363A7" w:rsidRDefault="006363A7" w:rsidP="00C02301">
            <w:pPr>
              <w:pStyle w:val="ListParagraph"/>
              <w:ind w:left="0"/>
            </w:pPr>
          </w:p>
        </w:tc>
      </w:tr>
      <w:tr w:rsidR="006363A7" w:rsidRPr="006363A7" w14:paraId="02A3EFB6" w14:textId="77777777" w:rsidTr="00EC74E9">
        <w:tc>
          <w:tcPr>
            <w:tcW w:w="1418" w:type="dxa"/>
          </w:tcPr>
          <w:p w14:paraId="7BEF2E14" w14:textId="7D822424" w:rsidR="006363A7" w:rsidRPr="006363A7" w:rsidRDefault="00E74933" w:rsidP="00C02301">
            <w:pPr>
              <w:pStyle w:val="ListParagraph"/>
              <w:ind w:left="0"/>
            </w:pPr>
            <w:r w:rsidRPr="00E74933">
              <w:t>Receiving Member</w:t>
            </w:r>
          </w:p>
        </w:tc>
        <w:tc>
          <w:tcPr>
            <w:tcW w:w="6321" w:type="dxa"/>
          </w:tcPr>
          <w:p w14:paraId="21C7A223" w14:textId="0757C556" w:rsidR="006363A7" w:rsidRPr="006363A7" w:rsidRDefault="00E74933" w:rsidP="00C02301">
            <w:pPr>
              <w:pStyle w:val="ListParagraph"/>
              <w:ind w:left="0"/>
            </w:pPr>
            <w:r w:rsidRPr="00E74933">
              <w:t xml:space="preserve">means the Member that receives </w:t>
            </w:r>
            <w:r w:rsidR="005A09FB">
              <w:rPr>
                <w:rFonts w:hint="eastAsia"/>
              </w:rPr>
              <w:t>a</w:t>
            </w:r>
            <w:r w:rsidRPr="00E74933">
              <w:t xml:space="preserve"> referral</w:t>
            </w:r>
            <w:r w:rsidR="005A09FB">
              <w:rPr>
                <w:rFonts w:hint="eastAsia"/>
              </w:rPr>
              <w:t xml:space="preserve"> from the Platform or another Member</w:t>
            </w:r>
            <w:r w:rsidRPr="00E74933">
              <w:t>.</w:t>
            </w:r>
          </w:p>
        </w:tc>
      </w:tr>
      <w:tr w:rsidR="00E74933" w:rsidRPr="006363A7" w14:paraId="3B10DCEB" w14:textId="77777777" w:rsidTr="00EC74E9">
        <w:tc>
          <w:tcPr>
            <w:tcW w:w="1418" w:type="dxa"/>
          </w:tcPr>
          <w:p w14:paraId="53B0846A" w14:textId="77777777" w:rsidR="00E74933" w:rsidRPr="006363A7" w:rsidRDefault="00E74933" w:rsidP="00C02301">
            <w:pPr>
              <w:pStyle w:val="ListParagraph"/>
              <w:ind w:left="0"/>
            </w:pPr>
          </w:p>
        </w:tc>
        <w:tc>
          <w:tcPr>
            <w:tcW w:w="6321" w:type="dxa"/>
          </w:tcPr>
          <w:p w14:paraId="35D4AD80" w14:textId="77777777" w:rsidR="00E74933" w:rsidRPr="006363A7" w:rsidRDefault="00E74933" w:rsidP="00C02301">
            <w:pPr>
              <w:pStyle w:val="ListParagraph"/>
              <w:ind w:left="0"/>
            </w:pPr>
          </w:p>
        </w:tc>
      </w:tr>
      <w:tr w:rsidR="00E74933" w:rsidRPr="006363A7" w14:paraId="02090B12" w14:textId="77777777" w:rsidTr="00EC74E9">
        <w:tc>
          <w:tcPr>
            <w:tcW w:w="1418" w:type="dxa"/>
          </w:tcPr>
          <w:p w14:paraId="39AC1E56" w14:textId="118C14A0" w:rsidR="00E74933" w:rsidRPr="006363A7" w:rsidRDefault="00E74933" w:rsidP="00C02301">
            <w:pPr>
              <w:pStyle w:val="ListParagraph"/>
              <w:ind w:left="0"/>
            </w:pPr>
            <w:r w:rsidRPr="00E74933">
              <w:t>Referring Member</w:t>
            </w:r>
          </w:p>
        </w:tc>
        <w:tc>
          <w:tcPr>
            <w:tcW w:w="6321" w:type="dxa"/>
          </w:tcPr>
          <w:p w14:paraId="1B14A4F5" w14:textId="0912D7F9" w:rsidR="00E74933" w:rsidRPr="006363A7" w:rsidRDefault="00E74933" w:rsidP="00C02301">
            <w:pPr>
              <w:pStyle w:val="ListParagraph"/>
              <w:ind w:left="0"/>
            </w:pPr>
            <w:r w:rsidRPr="00E74933">
              <w:t>means the Member that makes a referral to another Member.</w:t>
            </w:r>
          </w:p>
        </w:tc>
      </w:tr>
      <w:tr w:rsidR="00EB19F2" w:rsidRPr="006363A7" w14:paraId="366E2044" w14:textId="77777777" w:rsidTr="00EC74E9">
        <w:tc>
          <w:tcPr>
            <w:tcW w:w="1418" w:type="dxa"/>
          </w:tcPr>
          <w:p w14:paraId="71752013" w14:textId="77777777" w:rsidR="00EB19F2" w:rsidRPr="00E74933" w:rsidRDefault="00EB19F2" w:rsidP="00C02301">
            <w:pPr>
              <w:pStyle w:val="ListParagraph"/>
              <w:ind w:left="0"/>
            </w:pPr>
          </w:p>
        </w:tc>
        <w:tc>
          <w:tcPr>
            <w:tcW w:w="6321" w:type="dxa"/>
          </w:tcPr>
          <w:p w14:paraId="355C712A" w14:textId="77777777" w:rsidR="00EB19F2" w:rsidRPr="00E74933" w:rsidRDefault="00EB19F2" w:rsidP="00C02301">
            <w:pPr>
              <w:pStyle w:val="ListParagraph"/>
              <w:ind w:left="0"/>
            </w:pPr>
          </w:p>
        </w:tc>
      </w:tr>
      <w:tr w:rsidR="00EB19F2" w:rsidRPr="006363A7" w14:paraId="45167E6B" w14:textId="77777777" w:rsidTr="00EC74E9">
        <w:tc>
          <w:tcPr>
            <w:tcW w:w="1418" w:type="dxa"/>
          </w:tcPr>
          <w:p w14:paraId="63202DD4" w14:textId="01C6AE8B" w:rsidR="00EB19F2" w:rsidRPr="00E74933" w:rsidRDefault="00EB19F2" w:rsidP="00C02301">
            <w:pPr>
              <w:pStyle w:val="ListParagraph"/>
              <w:ind w:left="0"/>
            </w:pPr>
            <w:r w:rsidRPr="00EB19F2">
              <w:t>Successful Referral</w:t>
            </w:r>
          </w:p>
        </w:tc>
        <w:tc>
          <w:tcPr>
            <w:tcW w:w="6321" w:type="dxa"/>
          </w:tcPr>
          <w:p w14:paraId="648B0A49" w14:textId="0397A696" w:rsidR="00EB19F2" w:rsidRPr="00E74933" w:rsidRDefault="00EB19F2" w:rsidP="00C02301">
            <w:pPr>
              <w:pStyle w:val="ListParagraph"/>
              <w:ind w:left="0"/>
            </w:pPr>
            <w:r w:rsidRPr="00EB19F2">
              <w:t>has the meaning given to it in Clause 2.</w:t>
            </w:r>
            <w:r w:rsidR="00F95A80">
              <w:rPr>
                <w:rFonts w:hint="eastAsia"/>
              </w:rPr>
              <w:t>3</w:t>
            </w:r>
            <w:r>
              <w:rPr>
                <w:rFonts w:hint="eastAsia"/>
              </w:rPr>
              <w:t xml:space="preserve"> hereof.</w:t>
            </w:r>
          </w:p>
        </w:tc>
      </w:tr>
      <w:tr w:rsidR="00C2031F" w:rsidRPr="006363A7" w14:paraId="306D5016" w14:textId="77777777" w:rsidTr="00EC74E9">
        <w:tc>
          <w:tcPr>
            <w:tcW w:w="1418" w:type="dxa"/>
          </w:tcPr>
          <w:p w14:paraId="4134E69C" w14:textId="77777777" w:rsidR="00C2031F" w:rsidRPr="00EB19F2" w:rsidRDefault="00C2031F" w:rsidP="00C02301">
            <w:pPr>
              <w:pStyle w:val="ListParagraph"/>
              <w:ind w:left="0"/>
            </w:pPr>
          </w:p>
        </w:tc>
        <w:tc>
          <w:tcPr>
            <w:tcW w:w="6321" w:type="dxa"/>
          </w:tcPr>
          <w:p w14:paraId="257FBC73" w14:textId="77777777" w:rsidR="00C2031F" w:rsidRPr="00EB19F2" w:rsidRDefault="00C2031F" w:rsidP="00C02301">
            <w:pPr>
              <w:pStyle w:val="ListParagraph"/>
              <w:ind w:left="0"/>
            </w:pPr>
          </w:p>
        </w:tc>
      </w:tr>
      <w:tr w:rsidR="00C2031F" w:rsidRPr="006363A7" w14:paraId="3E809E10" w14:textId="77777777" w:rsidTr="00EC74E9">
        <w:tc>
          <w:tcPr>
            <w:tcW w:w="1418" w:type="dxa"/>
          </w:tcPr>
          <w:p w14:paraId="160C4451" w14:textId="57CEB372" w:rsidR="00C2031F" w:rsidRPr="00EB19F2" w:rsidRDefault="00C2031F" w:rsidP="00C02301">
            <w:pPr>
              <w:pStyle w:val="ListParagraph"/>
              <w:ind w:left="0"/>
            </w:pPr>
            <w:r w:rsidRPr="00C2031F">
              <w:t>Technical Support Fee</w:t>
            </w:r>
          </w:p>
        </w:tc>
        <w:tc>
          <w:tcPr>
            <w:tcW w:w="6321" w:type="dxa"/>
          </w:tcPr>
          <w:p w14:paraId="6FA59637" w14:textId="43E3994A" w:rsidR="00C2031F" w:rsidRPr="00EB19F2" w:rsidRDefault="00C2031F" w:rsidP="00C02301">
            <w:pPr>
              <w:pStyle w:val="ListParagraph"/>
              <w:ind w:left="0"/>
            </w:pPr>
            <w:r w:rsidRPr="00C2031F">
              <w:t xml:space="preserve">has the meaning given to it in Clause </w:t>
            </w:r>
            <w:r>
              <w:rPr>
                <w:rFonts w:hint="eastAsia"/>
              </w:rPr>
              <w:t>3.1</w:t>
            </w:r>
            <w:r w:rsidRPr="00C2031F">
              <w:t xml:space="preserve"> hereof.</w:t>
            </w:r>
          </w:p>
        </w:tc>
      </w:tr>
    </w:tbl>
    <w:p w14:paraId="50D0C8D3" w14:textId="77777777" w:rsidR="00EC74E9" w:rsidRDefault="00EC74E9" w:rsidP="00EC74E9">
      <w:pPr>
        <w:pStyle w:val="ListParagraph"/>
        <w:ind w:left="567"/>
        <w:rPr>
          <w:b/>
          <w:bCs/>
        </w:rPr>
      </w:pPr>
    </w:p>
    <w:p w14:paraId="04402CF2" w14:textId="0E759B3A" w:rsidR="00E14B97" w:rsidRPr="00934B2A" w:rsidRDefault="00955D04" w:rsidP="000671D7">
      <w:pPr>
        <w:pStyle w:val="ListParagraph"/>
        <w:numPr>
          <w:ilvl w:val="0"/>
          <w:numId w:val="2"/>
        </w:numPr>
        <w:ind w:left="567" w:hanging="567"/>
        <w:rPr>
          <w:b/>
          <w:bCs/>
        </w:rPr>
      </w:pPr>
      <w:r w:rsidRPr="00955D04">
        <w:rPr>
          <w:b/>
          <w:bCs/>
        </w:rPr>
        <w:t>Cross-Referral Mechanism</w:t>
      </w:r>
    </w:p>
    <w:p w14:paraId="2D08EE25" w14:textId="77777777" w:rsidR="00E14B97" w:rsidRDefault="00E14B97" w:rsidP="00E14B97"/>
    <w:p w14:paraId="4AA4DE0D" w14:textId="4C8C0647" w:rsidR="00E14B97" w:rsidRDefault="00605044" w:rsidP="000671D7">
      <w:pPr>
        <w:pStyle w:val="ListParagraph"/>
        <w:numPr>
          <w:ilvl w:val="0"/>
          <w:numId w:val="6"/>
        </w:numPr>
        <w:ind w:left="567" w:hanging="567"/>
      </w:pPr>
      <w:r w:rsidRPr="00605044">
        <w:t xml:space="preserve">The Platform facilitates business opportunities among Members </w:t>
      </w:r>
      <w:r w:rsidR="0044558C" w:rsidRPr="0044558C">
        <w:t>by means of</w:t>
      </w:r>
      <w:r w:rsidRPr="00605044">
        <w:t xml:space="preserve"> a cross-referral mechanism, under which:</w:t>
      </w:r>
    </w:p>
    <w:p w14:paraId="31E7860B" w14:textId="77777777" w:rsidR="00E14B97" w:rsidRDefault="00E14B97" w:rsidP="00E14B97"/>
    <w:p w14:paraId="10A0AEC5" w14:textId="13784F34" w:rsidR="00605044" w:rsidRDefault="00605044" w:rsidP="00605044">
      <w:pPr>
        <w:pStyle w:val="ListParagraph"/>
        <w:numPr>
          <w:ilvl w:val="0"/>
          <w:numId w:val="23"/>
        </w:numPr>
        <w:ind w:left="1134" w:hanging="567"/>
      </w:pPr>
      <w:r>
        <w:t xml:space="preserve">the Platform may introduce potential </w:t>
      </w:r>
      <w:r w:rsidRPr="00857193">
        <w:t xml:space="preserve">Clients or </w:t>
      </w:r>
      <w:r w:rsidR="00857193" w:rsidRPr="00857193">
        <w:t>Business Collaborator</w:t>
      </w:r>
      <w:r w:rsidR="00857193">
        <w:rPr>
          <w:rFonts w:hint="eastAsia"/>
        </w:rPr>
        <w:t>s</w:t>
      </w:r>
      <w:r>
        <w:t xml:space="preserve"> to </w:t>
      </w:r>
      <w:r w:rsidR="00857193">
        <w:rPr>
          <w:rFonts w:hint="eastAsia"/>
        </w:rPr>
        <w:t>a Receiving</w:t>
      </w:r>
      <w:r>
        <w:t xml:space="preserve"> Member; and</w:t>
      </w:r>
    </w:p>
    <w:p w14:paraId="49D352CA" w14:textId="3A1382C5" w:rsidR="00605044" w:rsidRDefault="00B2123B" w:rsidP="00605044">
      <w:pPr>
        <w:pStyle w:val="ListParagraph"/>
        <w:numPr>
          <w:ilvl w:val="0"/>
          <w:numId w:val="23"/>
        </w:numPr>
        <w:ind w:left="1134" w:hanging="567"/>
      </w:pPr>
      <w:r>
        <w:rPr>
          <w:rFonts w:hint="eastAsia"/>
        </w:rPr>
        <w:t>a Referring</w:t>
      </w:r>
      <w:r w:rsidR="00605044">
        <w:t xml:space="preserve"> Member may refer potential </w:t>
      </w:r>
      <w:r w:rsidRPr="00B2123B">
        <w:t>Clients or Business Collaborators</w:t>
      </w:r>
      <w:r w:rsidR="00605044">
        <w:t xml:space="preserve"> to </w:t>
      </w:r>
      <w:r w:rsidRPr="00B2123B">
        <w:t>a Receiving Member</w:t>
      </w:r>
      <w:r w:rsidR="00605044">
        <w:t>.</w:t>
      </w:r>
    </w:p>
    <w:p w14:paraId="6388F84C" w14:textId="77777777" w:rsidR="0044558C" w:rsidRDefault="0044558C" w:rsidP="0044558C">
      <w:pPr>
        <w:pStyle w:val="ListParagraph"/>
        <w:ind w:left="1134"/>
      </w:pPr>
    </w:p>
    <w:p w14:paraId="1CA63328" w14:textId="56232D3F" w:rsidR="00C84CEC" w:rsidRDefault="00C84CEC" w:rsidP="00E70CC3">
      <w:pPr>
        <w:pStyle w:val="ListParagraph"/>
        <w:numPr>
          <w:ilvl w:val="0"/>
          <w:numId w:val="6"/>
        </w:numPr>
        <w:ind w:left="567" w:hanging="567"/>
      </w:pPr>
      <w:r w:rsidRPr="00C84CEC">
        <w:t>Capacity of the</w:t>
      </w:r>
      <w:r>
        <w:rPr>
          <w:rFonts w:hint="eastAsia"/>
        </w:rPr>
        <w:t xml:space="preserve"> Parties</w:t>
      </w:r>
    </w:p>
    <w:p w14:paraId="6E822353" w14:textId="77777777" w:rsidR="00C84CEC" w:rsidRDefault="00C84CEC" w:rsidP="00C84CEC">
      <w:pPr>
        <w:pStyle w:val="ListParagraph"/>
        <w:ind w:left="567"/>
      </w:pPr>
    </w:p>
    <w:p w14:paraId="2EBB96DC" w14:textId="10B67C2C" w:rsidR="007556AA" w:rsidRDefault="007556AA" w:rsidP="00C84CEC">
      <w:pPr>
        <w:pStyle w:val="ListParagraph"/>
        <w:numPr>
          <w:ilvl w:val="0"/>
          <w:numId w:val="30"/>
        </w:numPr>
        <w:ind w:left="567" w:hanging="567"/>
      </w:pPr>
      <w:r w:rsidRPr="007556AA">
        <w:t xml:space="preserve">The Participating Member acknowledges and agrees that, under this Agreement, </w:t>
      </w:r>
      <w:r w:rsidR="00A550C3" w:rsidRPr="00A550C3">
        <w:t>the Participating Member may serve in the capacity of either a Referring Member or a Receiving Member, as the context requires. The Member shall comply with all obligations specific to the capacity in which it is acting at any given time.</w:t>
      </w:r>
    </w:p>
    <w:p w14:paraId="2E72A604" w14:textId="77777777" w:rsidR="00C84CEC" w:rsidRDefault="00C84CEC" w:rsidP="00C84CEC">
      <w:pPr>
        <w:pStyle w:val="ListParagraph"/>
        <w:ind w:left="567"/>
      </w:pPr>
    </w:p>
    <w:p w14:paraId="60BF7889" w14:textId="73BAEB0E" w:rsidR="00C84CEC" w:rsidRDefault="00980143" w:rsidP="00C84CEC">
      <w:pPr>
        <w:pStyle w:val="ListParagraph"/>
        <w:numPr>
          <w:ilvl w:val="0"/>
          <w:numId w:val="30"/>
        </w:numPr>
        <w:ind w:left="567" w:hanging="567"/>
      </w:pPr>
      <w:r>
        <w:rPr>
          <w:rFonts w:hint="eastAsia"/>
        </w:rPr>
        <w:t>A</w:t>
      </w:r>
      <w:r w:rsidR="00C84CEC" w:rsidRPr="00C84CEC">
        <w:t xml:space="preserve">ny reference in this Agreement to any act, omission, referral, introduction or recommendation made by the Platform shall be deemed to refer to such act, omission, referral, </w:t>
      </w:r>
      <w:r w:rsidR="00C84CEC" w:rsidRPr="00C84CEC">
        <w:lastRenderedPageBreak/>
        <w:t xml:space="preserve">introduction or recommendation made by </w:t>
      </w:r>
      <w:proofErr w:type="spellStart"/>
      <w:r w:rsidR="00C84CEC" w:rsidRPr="00C84CEC">
        <w:t>Leadvisor</w:t>
      </w:r>
      <w:proofErr w:type="spellEnd"/>
      <w:r w:rsidR="00C84CEC" w:rsidRPr="00C84CEC">
        <w:t xml:space="preserve"> in its capacity as operator of the Platform.</w:t>
      </w:r>
    </w:p>
    <w:p w14:paraId="619C54D8" w14:textId="77777777" w:rsidR="007556AA" w:rsidRDefault="007556AA" w:rsidP="00E14B97"/>
    <w:p w14:paraId="12A2D2E7" w14:textId="2DD665B5" w:rsidR="002A3B19" w:rsidRDefault="005A2581" w:rsidP="005A2581">
      <w:pPr>
        <w:pStyle w:val="ListParagraph"/>
        <w:numPr>
          <w:ilvl w:val="0"/>
          <w:numId w:val="6"/>
        </w:numPr>
        <w:ind w:left="567" w:hanging="567"/>
      </w:pPr>
      <w:r w:rsidRPr="002A3B19">
        <w:rPr>
          <w:rFonts w:hint="eastAsia"/>
        </w:rPr>
        <w:t>S</w:t>
      </w:r>
      <w:r w:rsidRPr="002A3B19">
        <w:t>uccessful Referral</w:t>
      </w:r>
    </w:p>
    <w:p w14:paraId="07A612AF" w14:textId="77777777" w:rsidR="002A3B19" w:rsidRDefault="002A3B19" w:rsidP="002A3B19">
      <w:pPr>
        <w:pStyle w:val="ListParagraph"/>
        <w:ind w:left="567"/>
        <w:rPr>
          <w:u w:val="single"/>
        </w:rPr>
      </w:pPr>
    </w:p>
    <w:p w14:paraId="31A2A98A" w14:textId="5DBAAE64" w:rsidR="005A2581" w:rsidRDefault="005A2581" w:rsidP="002A3B19">
      <w:pPr>
        <w:pStyle w:val="ListParagraph"/>
        <w:ind w:left="567"/>
      </w:pPr>
      <w:r w:rsidRPr="005A2581">
        <w:t xml:space="preserve">For purposes of determining whether any person or entity constitutes a Client or Business Collaborator of the Receiving Member under Clause 1, such person or entity shall be recognized only if its details were first furnished in writing to the Receiving Member by the Platform or </w:t>
      </w:r>
      <w:r w:rsidR="007815EF">
        <w:rPr>
          <w:rFonts w:hint="eastAsia"/>
        </w:rPr>
        <w:t>a</w:t>
      </w:r>
      <w:r w:rsidRPr="005A2581">
        <w:t xml:space="preserve"> Referring Member, as applicable</w:t>
      </w:r>
      <w:r w:rsidR="00B45919">
        <w:rPr>
          <w:rFonts w:hint="eastAsia"/>
        </w:rPr>
        <w:t xml:space="preserve">, </w:t>
      </w:r>
      <w:r w:rsidR="00B45919" w:rsidRPr="00B45919">
        <w:t>and in such case the introduction of such person or entity shall constitute a “</w:t>
      </w:r>
      <w:r w:rsidR="00B45919" w:rsidRPr="00B45919">
        <w:rPr>
          <w:b/>
          <w:bCs/>
        </w:rPr>
        <w:t>Successful Referral</w:t>
      </w:r>
      <w:r w:rsidR="00B45919" w:rsidRPr="00B45919">
        <w:t>”</w:t>
      </w:r>
      <w:r w:rsidRPr="005A2581">
        <w:t>.</w:t>
      </w:r>
    </w:p>
    <w:p w14:paraId="431BE2A9" w14:textId="77777777" w:rsidR="005A2581" w:rsidRDefault="005A2581" w:rsidP="005A2581">
      <w:pPr>
        <w:pStyle w:val="ListParagraph"/>
        <w:ind w:left="567"/>
        <w:rPr>
          <w:u w:val="single"/>
        </w:rPr>
      </w:pPr>
    </w:p>
    <w:p w14:paraId="0957A3D7" w14:textId="3C0A106D" w:rsidR="005A2581" w:rsidRDefault="00A87667" w:rsidP="005A2581">
      <w:pPr>
        <w:pStyle w:val="ListParagraph"/>
        <w:ind w:left="567"/>
      </w:pPr>
      <w:r>
        <w:rPr>
          <w:rFonts w:hint="eastAsia"/>
        </w:rPr>
        <w:t>I</w:t>
      </w:r>
      <w:r w:rsidR="005A2581" w:rsidRPr="005A2581">
        <w:t xml:space="preserve">f the Receiving Member had engaged in substantive discussions with such person or entity (directly or through a third party) prior to the date on which the details were so furnished, the Receiving Member shall, within three (3) </w:t>
      </w:r>
      <w:r w:rsidR="005A2581">
        <w:rPr>
          <w:rFonts w:hint="eastAsia"/>
        </w:rPr>
        <w:t>d</w:t>
      </w:r>
      <w:r w:rsidR="005A2581" w:rsidRPr="005A2581">
        <w:t>ays after receipt of the referral, provide the Platform</w:t>
      </w:r>
      <w:r w:rsidR="001671B9">
        <w:rPr>
          <w:rFonts w:hint="eastAsia"/>
        </w:rPr>
        <w:t xml:space="preserve"> or the Referring Member</w:t>
      </w:r>
      <w:r w:rsidR="00731FE4">
        <w:rPr>
          <w:rFonts w:hint="eastAsia"/>
        </w:rPr>
        <w:t xml:space="preserve"> (as the case may be)</w:t>
      </w:r>
      <w:r w:rsidR="005A2581" w:rsidRPr="005A2581">
        <w:t xml:space="preserve"> with written notice of such prior discussions together with reasonable supporting documentation. </w:t>
      </w:r>
      <w:r w:rsidR="00F037BD" w:rsidRPr="00F037BD">
        <w:t>Failure to provide such timely notice and documentation shall result in the relevant person or entity being conclusively deemed to have been a Successful Referral for purposes of this Agreement.</w:t>
      </w:r>
    </w:p>
    <w:p w14:paraId="151CD2B2" w14:textId="77777777" w:rsidR="005A2581" w:rsidRPr="005A2581" w:rsidRDefault="005A2581" w:rsidP="005A2581">
      <w:pPr>
        <w:pStyle w:val="ListParagraph"/>
        <w:ind w:left="567"/>
      </w:pPr>
    </w:p>
    <w:p w14:paraId="7E7EB7FD" w14:textId="40FF9E9E" w:rsidR="00E14B97" w:rsidRDefault="00A26219" w:rsidP="000671D7">
      <w:pPr>
        <w:pStyle w:val="ListParagraph"/>
        <w:numPr>
          <w:ilvl w:val="0"/>
          <w:numId w:val="6"/>
        </w:numPr>
        <w:ind w:left="567" w:hanging="567"/>
      </w:pPr>
      <w:r w:rsidRPr="00A26219">
        <w:t>The cross-referral mechanism operates on a non-exclusive basis. Nothing in this Agreement shall be construed as creating an agency, partnership, or employment relationship between the Parties, and each Party acts as an independent contractor.</w:t>
      </w:r>
      <w:r w:rsidR="00442388">
        <w:rPr>
          <w:rFonts w:hint="eastAsia"/>
        </w:rPr>
        <w:t xml:space="preserve"> </w:t>
      </w:r>
    </w:p>
    <w:p w14:paraId="7232A34C" w14:textId="77777777" w:rsidR="00E14B97" w:rsidRDefault="00E14B97" w:rsidP="00E14B97"/>
    <w:p w14:paraId="1BAF944C" w14:textId="40F19751" w:rsidR="00E14B97" w:rsidRPr="00F32D4B" w:rsidRDefault="00116C26" w:rsidP="000671D7">
      <w:pPr>
        <w:pStyle w:val="ListParagraph"/>
        <w:numPr>
          <w:ilvl w:val="0"/>
          <w:numId w:val="2"/>
        </w:numPr>
        <w:ind w:left="567" w:hanging="567"/>
        <w:rPr>
          <w:b/>
          <w:bCs/>
        </w:rPr>
      </w:pPr>
      <w:r w:rsidRPr="00116C26">
        <w:rPr>
          <w:b/>
          <w:bCs/>
        </w:rPr>
        <w:t>Technical Support Fee</w:t>
      </w:r>
    </w:p>
    <w:p w14:paraId="39D8DA7D" w14:textId="77777777" w:rsidR="00E14B97" w:rsidRDefault="00E14B97" w:rsidP="00E14B97"/>
    <w:p w14:paraId="33428488" w14:textId="56D18CE8" w:rsidR="00CD057F" w:rsidRPr="00C356F7" w:rsidRDefault="00CD057F" w:rsidP="00CD057F">
      <w:pPr>
        <w:pStyle w:val="ListParagraph"/>
        <w:numPr>
          <w:ilvl w:val="0"/>
          <w:numId w:val="7"/>
        </w:numPr>
        <w:ind w:left="567" w:hanging="567"/>
      </w:pPr>
      <w:r w:rsidRPr="00C356F7">
        <w:t>Obligation to Pay</w:t>
      </w:r>
      <w:r w:rsidR="00B6799A">
        <w:rPr>
          <w:rFonts w:hint="eastAsia"/>
        </w:rPr>
        <w:t xml:space="preserve"> </w:t>
      </w:r>
    </w:p>
    <w:p w14:paraId="3BAC74A7" w14:textId="77777777" w:rsidR="00CD057F" w:rsidRDefault="00CD057F" w:rsidP="00CD057F">
      <w:pPr>
        <w:pStyle w:val="ListParagraph"/>
        <w:ind w:left="567"/>
        <w:rPr>
          <w:u w:val="single"/>
        </w:rPr>
      </w:pPr>
    </w:p>
    <w:p w14:paraId="1F3B4565" w14:textId="77777777" w:rsidR="00A24B77" w:rsidRDefault="00A24B77" w:rsidP="00A24B77">
      <w:pPr>
        <w:ind w:leftChars="300" w:left="630"/>
      </w:pPr>
      <w:r>
        <w:t>For each Successful Referral under Clause 2, the Receiving Member shall pay the Platform a technical support fee (“Technical Support Fee”) of ten percent (10%) of its received Net Fees. The Technical Support Fee shall be allocated as follows:</w:t>
      </w:r>
    </w:p>
    <w:p w14:paraId="3FE1E751" w14:textId="77777777" w:rsidR="00A24B77" w:rsidRDefault="00A24B77" w:rsidP="00A24B77">
      <w:pPr>
        <w:ind w:leftChars="300" w:left="630"/>
      </w:pPr>
    </w:p>
    <w:p w14:paraId="5873EE08" w14:textId="77777777" w:rsidR="00A24B77" w:rsidRDefault="00A24B77" w:rsidP="00A24B77">
      <w:pPr>
        <w:ind w:leftChars="300" w:left="630"/>
      </w:pPr>
      <w:r>
        <w:t>(a) Referral by the Platform: The Platform shall retain the entire Technical Support Fee.</w:t>
      </w:r>
    </w:p>
    <w:p w14:paraId="727FA06A" w14:textId="77777777" w:rsidR="00A24B77" w:rsidRDefault="00A24B77" w:rsidP="00A24B77">
      <w:pPr>
        <w:ind w:leftChars="300" w:left="630"/>
      </w:pPr>
    </w:p>
    <w:p w14:paraId="2539F7D9" w14:textId="77777777" w:rsidR="00A24B77" w:rsidRDefault="00A24B77" w:rsidP="00A24B77">
      <w:pPr>
        <w:ind w:leftChars="300" w:left="630"/>
      </w:pPr>
      <w:r>
        <w:t>(b) Referral by a Referring Member: The Receiving Member shall pay the full Technical Support Fee to the Platform. The Platform shall then remit seventy percent (70%) of this fee (net of any applicable taxes and expenses) to the Referring Member, retaining the remaining thirty percent (30%) for itself.</w:t>
      </w:r>
    </w:p>
    <w:p w14:paraId="3BE604B1" w14:textId="77777777" w:rsidR="00A24B77" w:rsidRDefault="00A24B77" w:rsidP="00A24B77">
      <w:pPr>
        <w:ind w:leftChars="300" w:left="630"/>
      </w:pPr>
    </w:p>
    <w:p w14:paraId="15D27235" w14:textId="024ED15F" w:rsidR="00E14B97" w:rsidRDefault="00A24B77" w:rsidP="00A24B77">
      <w:pPr>
        <w:ind w:leftChars="300" w:left="630"/>
      </w:pPr>
      <w:r>
        <w:t>Notwithstanding the foregoing, upon the Referring Member’s written direction, any amount allocable to it under section (b) may be applied as a credit against its Annual Membership Fee for any membership year. Any portion so credited shall satisfy the Platform's cash payment obligation for that amount.</w:t>
      </w:r>
    </w:p>
    <w:p w14:paraId="6306632F" w14:textId="77777777" w:rsidR="00A24B77" w:rsidRDefault="00A24B77" w:rsidP="00A24B77"/>
    <w:p w14:paraId="45742AFA" w14:textId="267E7B89" w:rsidR="00E14B97" w:rsidRPr="00F016BE" w:rsidRDefault="002A7888" w:rsidP="002A7888">
      <w:pPr>
        <w:pStyle w:val="ListParagraph"/>
        <w:numPr>
          <w:ilvl w:val="0"/>
          <w:numId w:val="7"/>
        </w:numPr>
        <w:ind w:left="567" w:hanging="567"/>
      </w:pPr>
      <w:r w:rsidRPr="00F016BE">
        <w:t>Disclosure Obligations</w:t>
      </w:r>
    </w:p>
    <w:p w14:paraId="2076B9B3" w14:textId="77777777" w:rsidR="00E14B97" w:rsidRDefault="00E14B97" w:rsidP="00E14B97"/>
    <w:p w14:paraId="52E8DA99" w14:textId="79909E69" w:rsidR="002A7888" w:rsidRDefault="00A40473" w:rsidP="002A7888">
      <w:pPr>
        <w:pStyle w:val="ListParagraph"/>
        <w:numPr>
          <w:ilvl w:val="0"/>
          <w:numId w:val="28"/>
        </w:numPr>
        <w:ind w:left="567" w:hanging="567"/>
      </w:pPr>
      <w:r w:rsidRPr="00A40473">
        <w:lastRenderedPageBreak/>
        <w:t xml:space="preserve">Both the Referring Member and Receiving Member </w:t>
      </w:r>
      <w:r>
        <w:rPr>
          <w:rFonts w:hint="eastAsia"/>
        </w:rPr>
        <w:t>shall</w:t>
      </w:r>
      <w:r w:rsidRPr="00A40473">
        <w:t xml:space="preserve"> promptly notify the Platform in writing of any introduction of a potential Client or Business Collaborator. Following a Successful Referral, both parties </w:t>
      </w:r>
      <w:r>
        <w:rPr>
          <w:rFonts w:hint="eastAsia"/>
        </w:rPr>
        <w:t>shall</w:t>
      </w:r>
      <w:r w:rsidRPr="00A40473">
        <w:t xml:space="preserve"> immediately inform the Platform and provide details, including the name</w:t>
      </w:r>
      <w:r w:rsidR="00A54BC3">
        <w:rPr>
          <w:rFonts w:hint="eastAsia"/>
        </w:rPr>
        <w:t xml:space="preserve"> of the Client and the Business </w:t>
      </w:r>
      <w:r w:rsidR="00A54BC3" w:rsidRPr="00A54BC3">
        <w:t>Collaborator</w:t>
      </w:r>
      <w:r w:rsidRPr="00A40473">
        <w:t>, service type</w:t>
      </w:r>
      <w:r w:rsidR="00A54BC3">
        <w:rPr>
          <w:rFonts w:hint="eastAsia"/>
        </w:rPr>
        <w:t xml:space="preserve"> and nature of </w:t>
      </w:r>
      <w:r w:rsidR="00A54BC3" w:rsidRPr="00A54BC3">
        <w:t>collaboration</w:t>
      </w:r>
      <w:r w:rsidRPr="00A40473">
        <w:t>, and a fee estimate.</w:t>
      </w:r>
    </w:p>
    <w:p w14:paraId="2A880F2B" w14:textId="77777777" w:rsidR="001D49A1" w:rsidRDefault="001D49A1" w:rsidP="002A7888"/>
    <w:p w14:paraId="12E3468E" w14:textId="718993BA" w:rsidR="002A7888" w:rsidRDefault="00961E87" w:rsidP="001D49A1">
      <w:pPr>
        <w:pStyle w:val="ListParagraph"/>
        <w:numPr>
          <w:ilvl w:val="0"/>
          <w:numId w:val="28"/>
        </w:numPr>
        <w:ind w:left="567" w:hanging="567"/>
      </w:pPr>
      <w:r>
        <w:rPr>
          <w:rFonts w:hint="eastAsia"/>
        </w:rPr>
        <w:t>T</w:t>
      </w:r>
      <w:r w:rsidR="002A7888">
        <w:t xml:space="preserve">he Receiving Member shall, within five (5) </w:t>
      </w:r>
      <w:r w:rsidR="00E73AAD">
        <w:rPr>
          <w:rFonts w:hint="eastAsia"/>
        </w:rPr>
        <w:t>d</w:t>
      </w:r>
      <w:r w:rsidR="002A7888">
        <w:t>ays after the end of each calendar quarter, deliver to the Platform a written statement setting forth all Net Fees actually received by it during such quarter.</w:t>
      </w:r>
    </w:p>
    <w:p w14:paraId="59D23E9C" w14:textId="77777777" w:rsidR="002A7888" w:rsidRDefault="002A7888" w:rsidP="00E14B97"/>
    <w:p w14:paraId="6B357C3F" w14:textId="5735A734" w:rsidR="004D2321" w:rsidRPr="00F86AED" w:rsidRDefault="004D2321" w:rsidP="004D2321">
      <w:pPr>
        <w:pStyle w:val="ListParagraph"/>
        <w:numPr>
          <w:ilvl w:val="0"/>
          <w:numId w:val="7"/>
        </w:numPr>
        <w:ind w:left="567" w:hanging="567"/>
      </w:pPr>
      <w:r w:rsidRPr="00F86AED">
        <w:t>Invoicing and Settlement</w:t>
      </w:r>
    </w:p>
    <w:p w14:paraId="7148F28D" w14:textId="77777777" w:rsidR="004D2321" w:rsidRDefault="004D2321" w:rsidP="00E14B97"/>
    <w:p w14:paraId="3DADA65A" w14:textId="42F35A16" w:rsidR="004D2321" w:rsidRDefault="0046050D" w:rsidP="004D2321">
      <w:pPr>
        <w:pStyle w:val="ListParagraph"/>
        <w:numPr>
          <w:ilvl w:val="0"/>
          <w:numId w:val="29"/>
        </w:numPr>
        <w:ind w:left="567" w:hanging="567"/>
      </w:pPr>
      <w:r w:rsidRPr="0046050D">
        <w:t>The Platform shall issue an invoice to the Receiving Member for the Technical Support Fee payable for the relevant period, calculated based on the disclosures provided under Clause 3.2. The Receiving Member shall pay the invoiced amount within fifteen (15) days of receipt</w:t>
      </w:r>
      <w:r w:rsidR="004D2321" w:rsidRPr="004D2321">
        <w:t>.</w:t>
      </w:r>
    </w:p>
    <w:p w14:paraId="6C642D7E" w14:textId="77777777" w:rsidR="004D2321" w:rsidRDefault="004D2321" w:rsidP="004D2321">
      <w:pPr>
        <w:pStyle w:val="ListParagraph"/>
        <w:ind w:left="567"/>
      </w:pPr>
    </w:p>
    <w:p w14:paraId="4C18E150" w14:textId="3D84CA9A" w:rsidR="004D2321" w:rsidRDefault="0046050D" w:rsidP="004D2321">
      <w:pPr>
        <w:pStyle w:val="ListParagraph"/>
        <w:numPr>
          <w:ilvl w:val="0"/>
          <w:numId w:val="29"/>
        </w:numPr>
        <w:ind w:left="567" w:hanging="567"/>
      </w:pPr>
      <w:r w:rsidRPr="0046050D">
        <w:t>Following receipt of the Technical Support Fee for a referral made by a Referring Member, the Platform shall, within fifteen (15) days, pay seventy percent (70%) of said fee</w:t>
      </w:r>
      <w:r>
        <w:rPr>
          <w:rFonts w:hint="eastAsia"/>
        </w:rPr>
        <w:t xml:space="preserve"> </w:t>
      </w:r>
      <w:r w:rsidRPr="0046050D">
        <w:t>(net of any applicable taxes and expenses) to the Referring Member. The Platform may require the Referring Member to submit an invoice as a condition for payment.</w:t>
      </w:r>
    </w:p>
    <w:p w14:paraId="5910D9C8" w14:textId="77777777" w:rsidR="004D2321" w:rsidRDefault="004D2321" w:rsidP="00E14B97"/>
    <w:p w14:paraId="77472468" w14:textId="2F4E7AAA" w:rsidR="005A326F" w:rsidRDefault="005A326F" w:rsidP="005A326F">
      <w:pPr>
        <w:pStyle w:val="ListParagraph"/>
        <w:numPr>
          <w:ilvl w:val="0"/>
          <w:numId w:val="7"/>
        </w:numPr>
        <w:ind w:left="567" w:hanging="567"/>
      </w:pPr>
      <w:r w:rsidRPr="005A326F">
        <w:t>Continuing Entitlement.</w:t>
      </w:r>
    </w:p>
    <w:p w14:paraId="3B24DA17" w14:textId="77777777" w:rsidR="005A326F" w:rsidRDefault="005A326F" w:rsidP="00E14B97"/>
    <w:p w14:paraId="41EF5D51" w14:textId="59F3539A" w:rsidR="005A326F" w:rsidRDefault="00BB64CF" w:rsidP="005A326F">
      <w:pPr>
        <w:ind w:leftChars="270" w:left="567"/>
      </w:pPr>
      <w:r w:rsidRPr="00BB64CF">
        <w:t>For the avoidance of doubt, the entitlements and obligations set forth in this Clause 3 shall survive the termination of this Agreement. With respect to any Client or Business Collaborator referred under Clause 2 prior to such termination, the Receiving Member shall remain obliged to pay to the Platform the Technical Support Fee subsequently received from or arising out of such Client or Business Collaborator, for so long as such Net Fees continue to be received, on the same terms and conditions as set out in this Agreement.</w:t>
      </w:r>
    </w:p>
    <w:p w14:paraId="07663AFC" w14:textId="77777777" w:rsidR="005A326F" w:rsidRPr="00961E87" w:rsidRDefault="005A326F" w:rsidP="00E14B97"/>
    <w:p w14:paraId="05BEBC7B" w14:textId="530E2B7C" w:rsidR="00E14B97" w:rsidRPr="00117944" w:rsidRDefault="00E14B97" w:rsidP="00117944">
      <w:pPr>
        <w:pStyle w:val="ListParagraph"/>
        <w:numPr>
          <w:ilvl w:val="0"/>
          <w:numId w:val="2"/>
        </w:numPr>
        <w:ind w:left="567" w:hanging="567"/>
        <w:rPr>
          <w:b/>
          <w:bCs/>
        </w:rPr>
      </w:pPr>
      <w:bookmarkStart w:id="0" w:name="_Ref207038329"/>
      <w:r w:rsidRPr="00117944">
        <w:rPr>
          <w:b/>
          <w:bCs/>
        </w:rPr>
        <w:t>Non-Circumvention</w:t>
      </w:r>
      <w:bookmarkEnd w:id="0"/>
    </w:p>
    <w:p w14:paraId="015173DC" w14:textId="77777777" w:rsidR="00E14B97" w:rsidRDefault="00E14B97" w:rsidP="00E14B97"/>
    <w:p w14:paraId="0A011997" w14:textId="6E852105" w:rsidR="00E92EC8" w:rsidRDefault="00E92EC8" w:rsidP="00E92EC8">
      <w:pPr>
        <w:pStyle w:val="ListParagraph"/>
        <w:numPr>
          <w:ilvl w:val="0"/>
          <w:numId w:val="10"/>
        </w:numPr>
        <w:ind w:left="567" w:hanging="567"/>
      </w:pPr>
      <w:r>
        <w:t>The Receiving Member covenants that it shall not, whether directly or indirectly, by itself or through any affiliate, agent, or other third party, undertake any scheme or course of conduct the purpose or effect of which is to circumvent, avoid, or otherwise reduce the obligation to pay Technical Support Fees to the Platform. Without limiting the foregoing, such prohibited conduct shall include:</w:t>
      </w:r>
    </w:p>
    <w:p w14:paraId="647D42EC" w14:textId="77777777" w:rsidR="00E92EC8" w:rsidRDefault="00E92EC8" w:rsidP="00E92EC8">
      <w:pPr>
        <w:pStyle w:val="ListParagraph"/>
        <w:ind w:left="567"/>
      </w:pPr>
    </w:p>
    <w:p w14:paraId="673F6BE0" w14:textId="193CED7C" w:rsidR="00E92EC8" w:rsidRDefault="00E92EC8" w:rsidP="00E92EC8">
      <w:pPr>
        <w:pStyle w:val="ListParagraph"/>
        <w:numPr>
          <w:ilvl w:val="0"/>
          <w:numId w:val="11"/>
        </w:numPr>
        <w:ind w:left="1134" w:hanging="567"/>
      </w:pPr>
      <w:r>
        <w:t xml:space="preserve">The use of any third party as an intermediary for any agreement with a </w:t>
      </w:r>
      <w:proofErr w:type="gramStart"/>
      <w:r>
        <w:t>Client</w:t>
      </w:r>
      <w:proofErr w:type="gramEnd"/>
      <w:r>
        <w:t xml:space="preserve"> or Business Collaborator for the purpose of fee </w:t>
      </w:r>
      <w:proofErr w:type="gramStart"/>
      <w:r>
        <w:t>avoidance;</w:t>
      </w:r>
      <w:proofErr w:type="gramEnd"/>
    </w:p>
    <w:p w14:paraId="071A6F28" w14:textId="58DB567F" w:rsidR="00E92EC8" w:rsidRDefault="00E92EC8" w:rsidP="00E92EC8">
      <w:pPr>
        <w:pStyle w:val="ListParagraph"/>
        <w:numPr>
          <w:ilvl w:val="0"/>
          <w:numId w:val="11"/>
        </w:numPr>
        <w:ind w:left="1134" w:hanging="567"/>
      </w:pPr>
      <w:r>
        <w:t xml:space="preserve">The diversion of any payment streams due from a </w:t>
      </w:r>
      <w:proofErr w:type="gramStart"/>
      <w:r>
        <w:t>Client</w:t>
      </w:r>
      <w:proofErr w:type="gramEnd"/>
      <w:r>
        <w:t xml:space="preserve"> or Business Collaborator to any person or entity other than the Receiving Member; and</w:t>
      </w:r>
    </w:p>
    <w:p w14:paraId="6ADD082A" w14:textId="24D31005" w:rsidR="00E14B97" w:rsidRDefault="00E92EC8" w:rsidP="00E92EC8">
      <w:pPr>
        <w:pStyle w:val="ListParagraph"/>
        <w:numPr>
          <w:ilvl w:val="0"/>
          <w:numId w:val="11"/>
        </w:numPr>
        <w:ind w:left="1134" w:hanging="567"/>
      </w:pPr>
      <w:r>
        <w:t xml:space="preserve">The restructuring or recharacterization of the contractual relationship with any Client or Business Collaborator in a manner designed to reduce or eliminate the calculation </w:t>
      </w:r>
      <w:r>
        <w:lastRenderedPageBreak/>
        <w:t>base for the Technical Support Fee.</w:t>
      </w:r>
    </w:p>
    <w:p w14:paraId="1E0F7DD4" w14:textId="77777777" w:rsidR="00E92EC8" w:rsidRDefault="00E92EC8" w:rsidP="00E92EC8">
      <w:pPr>
        <w:pStyle w:val="ListParagraph"/>
        <w:ind w:left="1134"/>
      </w:pPr>
    </w:p>
    <w:p w14:paraId="3C8F2EF7" w14:textId="037741DA" w:rsidR="00E14B97" w:rsidRDefault="00E14B97" w:rsidP="00A04453">
      <w:pPr>
        <w:pStyle w:val="ListParagraph"/>
        <w:numPr>
          <w:ilvl w:val="0"/>
          <w:numId w:val="10"/>
        </w:numPr>
        <w:ind w:left="567" w:hanging="567"/>
      </w:pPr>
      <w:r>
        <w:t xml:space="preserve">Any action in breach of Clause </w:t>
      </w:r>
      <w:r w:rsidR="0045729B">
        <w:rPr>
          <w:rFonts w:hint="eastAsia"/>
        </w:rPr>
        <w:t>4.1</w:t>
      </w:r>
      <w:r>
        <w:t xml:space="preserve"> shall not relieve </w:t>
      </w:r>
      <w:r w:rsidR="0068003F">
        <w:t>the</w:t>
      </w:r>
      <w:r w:rsidR="00645CB2">
        <w:rPr>
          <w:rFonts w:hint="eastAsia"/>
        </w:rPr>
        <w:t xml:space="preserve"> Receiving</w:t>
      </w:r>
      <w:r w:rsidR="0068003F">
        <w:t xml:space="preserve"> </w:t>
      </w:r>
      <w:r w:rsidR="001A558D">
        <w:t>Member</w:t>
      </w:r>
      <w:r>
        <w:t xml:space="preserve"> of its obligation to pay the </w:t>
      </w:r>
      <w:r w:rsidR="0045729B">
        <w:rPr>
          <w:rFonts w:hint="eastAsia"/>
        </w:rPr>
        <w:t>T</w:t>
      </w:r>
      <w:r w:rsidR="00CF220A" w:rsidRPr="00CF220A">
        <w:t xml:space="preserve">echnical </w:t>
      </w:r>
      <w:r w:rsidR="0045729B">
        <w:rPr>
          <w:rFonts w:hint="eastAsia"/>
        </w:rPr>
        <w:t>S</w:t>
      </w:r>
      <w:r w:rsidR="00CF220A" w:rsidRPr="00CF220A">
        <w:t xml:space="preserve">upport </w:t>
      </w:r>
      <w:r w:rsidR="0045729B">
        <w:rPr>
          <w:rFonts w:hint="eastAsia"/>
        </w:rPr>
        <w:t>F</w:t>
      </w:r>
      <w:r w:rsidR="00CF220A" w:rsidRPr="00CF220A">
        <w:t>ees</w:t>
      </w:r>
      <w:r>
        <w:t xml:space="preserve"> in full as provided herein, and </w:t>
      </w:r>
      <w:r w:rsidR="0045729B" w:rsidRPr="0045729B">
        <w:t>the Platform</w:t>
      </w:r>
      <w:r>
        <w:t xml:space="preserve"> shall remain entitled to claim such </w:t>
      </w:r>
      <w:r w:rsidR="0045729B" w:rsidRPr="0045729B">
        <w:t xml:space="preserve">Technical Support Fees </w:t>
      </w:r>
      <w:r>
        <w:t>as if no such circumvention had occurred.</w:t>
      </w:r>
    </w:p>
    <w:p w14:paraId="5C098F5F" w14:textId="77777777" w:rsidR="00E14B97" w:rsidRDefault="00E14B97" w:rsidP="00E14B97"/>
    <w:p w14:paraId="5E4BA22C" w14:textId="73420C0C" w:rsidR="00E14B97" w:rsidRDefault="004B5AE0" w:rsidP="00A04453">
      <w:pPr>
        <w:pStyle w:val="ListParagraph"/>
        <w:numPr>
          <w:ilvl w:val="0"/>
          <w:numId w:val="10"/>
        </w:numPr>
        <w:ind w:left="567" w:hanging="567"/>
      </w:pPr>
      <w:r w:rsidRPr="004B5AE0">
        <w:t>The Platform shall be entitled, at any time upon seven (7) days’ prior written notice, to request and conduct, at its own cost, a specific audit of the</w:t>
      </w:r>
      <w:r w:rsidR="00781A69">
        <w:rPr>
          <w:rFonts w:hint="eastAsia"/>
        </w:rPr>
        <w:t xml:space="preserve"> Receiving</w:t>
      </w:r>
      <w:r w:rsidRPr="004B5AE0">
        <w:t xml:space="preserve"> Member limited to verifying the amounts actually received by the </w:t>
      </w:r>
      <w:r w:rsidR="00676D80" w:rsidRPr="00676D80">
        <w:t xml:space="preserve">Receiving </w:t>
      </w:r>
      <w:r w:rsidRPr="004B5AE0">
        <w:t>Member from, or arising out of, any specified Client or Business Collaborator. Such audit may be conducted by an independent representative appointed by the Platform at its expense, and the</w:t>
      </w:r>
      <w:r w:rsidR="00676D80" w:rsidRPr="00676D80">
        <w:t xml:space="preserve"> Receiving</w:t>
      </w:r>
      <w:r w:rsidRPr="004B5AE0">
        <w:t xml:space="preserve"> Member shall provide such representative with reasonable access to all relevant books and records solely for such verification purpose.</w:t>
      </w:r>
      <w:r w:rsidR="00693868">
        <w:rPr>
          <w:rFonts w:hint="eastAsia"/>
        </w:rPr>
        <w:t xml:space="preserve"> </w:t>
      </w:r>
    </w:p>
    <w:p w14:paraId="16994A2E" w14:textId="77777777" w:rsidR="00E14B97" w:rsidRPr="003C1EA7" w:rsidRDefault="00E14B97" w:rsidP="00E14B97"/>
    <w:p w14:paraId="11BF722C" w14:textId="4ABE9E47" w:rsidR="00E14B97" w:rsidRPr="00AC052C" w:rsidRDefault="00E14B97" w:rsidP="00AC052C">
      <w:pPr>
        <w:pStyle w:val="ListParagraph"/>
        <w:numPr>
          <w:ilvl w:val="0"/>
          <w:numId w:val="2"/>
        </w:numPr>
        <w:ind w:left="567" w:hanging="567"/>
        <w:rPr>
          <w:b/>
          <w:bCs/>
        </w:rPr>
      </w:pPr>
      <w:bookmarkStart w:id="1" w:name="_Ref207038412"/>
      <w:r w:rsidRPr="00AC052C">
        <w:rPr>
          <w:b/>
          <w:bCs/>
        </w:rPr>
        <w:t>Indemnity and Remedies</w:t>
      </w:r>
      <w:bookmarkEnd w:id="1"/>
    </w:p>
    <w:p w14:paraId="788BC2F2" w14:textId="77777777" w:rsidR="00E14B97" w:rsidRDefault="00E14B97" w:rsidP="00E14B97"/>
    <w:p w14:paraId="24C2AA43" w14:textId="540FDB94" w:rsidR="00E14B97" w:rsidRDefault="00E14B97" w:rsidP="00AC052C">
      <w:pPr>
        <w:pStyle w:val="ListParagraph"/>
        <w:numPr>
          <w:ilvl w:val="0"/>
          <w:numId w:val="12"/>
        </w:numPr>
        <w:ind w:left="567" w:hanging="567"/>
      </w:pPr>
      <w:bookmarkStart w:id="2" w:name="_Ref207113001"/>
      <w:r>
        <w:t xml:space="preserve">In </w:t>
      </w:r>
      <w:proofErr w:type="gramStart"/>
      <w:r>
        <w:t>addition</w:t>
      </w:r>
      <w:proofErr w:type="gramEnd"/>
      <w:r>
        <w:t xml:space="preserve"> and without prejudice to any other right or remedy available to the </w:t>
      </w:r>
      <w:r w:rsidR="001D6C95">
        <w:t>Parties</w:t>
      </w:r>
      <w:r>
        <w:t xml:space="preserve">, each </w:t>
      </w:r>
      <w:r w:rsidR="001D6C95">
        <w:t>Party</w:t>
      </w:r>
      <w:r>
        <w:t xml:space="preserve"> (the “</w:t>
      </w:r>
      <w:r w:rsidRPr="0023078B">
        <w:rPr>
          <w:b/>
          <w:bCs/>
        </w:rPr>
        <w:t xml:space="preserve">Indemnifying </w:t>
      </w:r>
      <w:r w:rsidR="001D6C95" w:rsidRPr="0023078B">
        <w:rPr>
          <w:b/>
          <w:bCs/>
        </w:rPr>
        <w:t>Party</w:t>
      </w:r>
      <w:r>
        <w:t xml:space="preserve">”) shall indemnify, and keep indemnified the other </w:t>
      </w:r>
      <w:r w:rsidR="001D6C95">
        <w:t>Party</w:t>
      </w:r>
      <w:r>
        <w:t xml:space="preserve"> (the “</w:t>
      </w:r>
      <w:r w:rsidRPr="0023078B">
        <w:rPr>
          <w:b/>
          <w:bCs/>
        </w:rPr>
        <w:t xml:space="preserve">Indemnified </w:t>
      </w:r>
      <w:r w:rsidR="001D6C95" w:rsidRPr="0023078B">
        <w:rPr>
          <w:b/>
          <w:bCs/>
        </w:rPr>
        <w:t>Party</w:t>
      </w:r>
      <w:r>
        <w:t xml:space="preserve">”) against all actions, proceedings, liabilities, losses, costs, claims, demands and expenses which the Indemnified </w:t>
      </w:r>
      <w:r w:rsidR="001D6C95">
        <w:t>Party</w:t>
      </w:r>
      <w:r>
        <w:t xml:space="preserve"> may suffer or sustain </w:t>
      </w:r>
      <w:proofErr w:type="gramStart"/>
      <w:r>
        <w:t>as a result of</w:t>
      </w:r>
      <w:proofErr w:type="gramEnd"/>
      <w:r>
        <w:t>:</w:t>
      </w:r>
      <w:bookmarkEnd w:id="2"/>
    </w:p>
    <w:p w14:paraId="5B0A98FD" w14:textId="77777777" w:rsidR="00E14B97" w:rsidRDefault="00E14B97" w:rsidP="00E14B97"/>
    <w:p w14:paraId="3FCA303C" w14:textId="2207BE29" w:rsidR="00E14B97" w:rsidRDefault="00E14B97" w:rsidP="00E14B97">
      <w:pPr>
        <w:pStyle w:val="ListParagraph"/>
        <w:numPr>
          <w:ilvl w:val="0"/>
          <w:numId w:val="13"/>
        </w:numPr>
        <w:ind w:left="1134" w:hanging="567"/>
      </w:pPr>
      <w:r>
        <w:t xml:space="preserve">any breach by the Indemnifying </w:t>
      </w:r>
      <w:r w:rsidR="001D6C95">
        <w:t>Party</w:t>
      </w:r>
      <w:r>
        <w:t xml:space="preserve"> of any provision of this </w:t>
      </w:r>
      <w:r w:rsidR="00F32D4B">
        <w:t>Agreement</w:t>
      </w:r>
      <w:r>
        <w:t>; or</w:t>
      </w:r>
    </w:p>
    <w:p w14:paraId="4AA946D0" w14:textId="43AC881D" w:rsidR="00E14B97" w:rsidRDefault="00E14B97" w:rsidP="00AC052C">
      <w:pPr>
        <w:pStyle w:val="ListParagraph"/>
        <w:numPr>
          <w:ilvl w:val="0"/>
          <w:numId w:val="13"/>
        </w:numPr>
        <w:ind w:left="1134" w:hanging="567"/>
      </w:pPr>
      <w:r>
        <w:t>any negligence</w:t>
      </w:r>
      <w:r w:rsidR="00672623" w:rsidRPr="00672623">
        <w:t xml:space="preserve"> or </w:t>
      </w:r>
      <w:r w:rsidR="001E4B0C" w:rsidRPr="00672623">
        <w:t>willful</w:t>
      </w:r>
      <w:r w:rsidR="00672623" w:rsidRPr="00672623">
        <w:t xml:space="preserve"> misconduct</w:t>
      </w:r>
      <w:r>
        <w:t xml:space="preserve"> by the Indemnifying </w:t>
      </w:r>
      <w:r w:rsidR="001D6C95">
        <w:t>Party</w:t>
      </w:r>
      <w:r>
        <w:t>.</w:t>
      </w:r>
    </w:p>
    <w:p w14:paraId="5B0E6B4F" w14:textId="77777777" w:rsidR="00E14B97" w:rsidRDefault="00E14B97" w:rsidP="00E14B97"/>
    <w:p w14:paraId="162E7E36" w14:textId="6398819D" w:rsidR="00B2590B" w:rsidRDefault="00B2590B" w:rsidP="00B2590B">
      <w:pPr>
        <w:pStyle w:val="ListParagraph"/>
        <w:numPr>
          <w:ilvl w:val="0"/>
          <w:numId w:val="12"/>
        </w:numPr>
      </w:pPr>
      <w:r>
        <w:t>Without limiting the remedies under Clause 5.1, a breach of Clause 3 or Clause 4 is a material breach. As a consequence, the Participating Member shall:</w:t>
      </w:r>
    </w:p>
    <w:p w14:paraId="6B9BD2A0" w14:textId="77777777" w:rsidR="00B2590B" w:rsidRDefault="00B2590B" w:rsidP="00B2590B">
      <w:pPr>
        <w:pStyle w:val="ListParagraph"/>
        <w:ind w:left="440"/>
      </w:pPr>
    </w:p>
    <w:p w14:paraId="10AC91FF" w14:textId="572FF7A9" w:rsidR="00B2590B" w:rsidRDefault="00B2590B" w:rsidP="00B2590B">
      <w:pPr>
        <w:pStyle w:val="ListParagraph"/>
        <w:numPr>
          <w:ilvl w:val="0"/>
          <w:numId w:val="32"/>
        </w:numPr>
      </w:pPr>
      <w:r>
        <w:t>remedy the breach by paying all outstanding Technical Support Fees;</w:t>
      </w:r>
      <w:r>
        <w:rPr>
          <w:rFonts w:hint="eastAsia"/>
        </w:rPr>
        <w:t xml:space="preserve"> and</w:t>
      </w:r>
    </w:p>
    <w:p w14:paraId="5337960E" w14:textId="1A5C2495" w:rsidR="00E14B97" w:rsidRPr="00B32BBB" w:rsidRDefault="00B2590B" w:rsidP="00B2590B">
      <w:pPr>
        <w:pStyle w:val="ListParagraph"/>
        <w:numPr>
          <w:ilvl w:val="0"/>
          <w:numId w:val="32"/>
        </w:numPr>
      </w:pPr>
      <w:r>
        <w:t xml:space="preserve">pay to </w:t>
      </w:r>
      <w:proofErr w:type="spellStart"/>
      <w:r>
        <w:t>Leadvisor</w:t>
      </w:r>
      <w:proofErr w:type="spellEnd"/>
      <w:r>
        <w:t>, as a genuine pre-estimate of liquidated damages, a sum equal to 100% of the unpaid or underpaid Technical Support Fees. This amount is payable as a debt without proof of actual loss.</w:t>
      </w:r>
    </w:p>
    <w:p w14:paraId="1684878E" w14:textId="77777777" w:rsidR="00E14B97" w:rsidRDefault="00E14B97" w:rsidP="00B2590B">
      <w:pPr>
        <w:pStyle w:val="ListParagraph"/>
        <w:ind w:left="1007"/>
      </w:pPr>
    </w:p>
    <w:p w14:paraId="492D578A" w14:textId="2F5B51E3" w:rsidR="00192495" w:rsidRDefault="00CB0166" w:rsidP="00AC052C">
      <w:pPr>
        <w:pStyle w:val="ListParagraph"/>
        <w:numPr>
          <w:ilvl w:val="0"/>
          <w:numId w:val="12"/>
        </w:numPr>
        <w:ind w:left="567" w:hanging="567"/>
      </w:pPr>
      <w:r w:rsidRPr="00CB0166">
        <w:t>Notwithstanding anything to the contrary contained herein</w:t>
      </w:r>
      <w:r>
        <w:rPr>
          <w:rFonts w:hint="eastAsia"/>
        </w:rPr>
        <w:t>,</w:t>
      </w:r>
      <w:r w:rsidRPr="00CB0166">
        <w:t xml:space="preserve"> </w:t>
      </w:r>
      <w:proofErr w:type="spellStart"/>
      <w:r w:rsidRPr="00CB0166">
        <w:t>Leadvisor</w:t>
      </w:r>
      <w:r w:rsidR="00192495" w:rsidRPr="00192495">
        <w:t>’s</w:t>
      </w:r>
      <w:proofErr w:type="spellEnd"/>
      <w:r w:rsidR="00192495" w:rsidRPr="00192495">
        <w:t xml:space="preserve"> aggregate liability to any Member in connection with any Successful Referral shall not exceed the portion of the Technical Support Fee actually retained by the Platform with respect to such referral (excluding any amounts allocable or payable to the Referring Member).</w:t>
      </w:r>
      <w:r>
        <w:rPr>
          <w:rFonts w:hint="eastAsia"/>
        </w:rPr>
        <w:t xml:space="preserve"> </w:t>
      </w:r>
    </w:p>
    <w:p w14:paraId="6B8418A1" w14:textId="77777777" w:rsidR="00192495" w:rsidRDefault="00192495" w:rsidP="00192495">
      <w:pPr>
        <w:pStyle w:val="ListParagraph"/>
      </w:pPr>
    </w:p>
    <w:p w14:paraId="75511EB6" w14:textId="392E883D" w:rsidR="00E14B97" w:rsidRDefault="00E14B97" w:rsidP="00AC052C">
      <w:pPr>
        <w:pStyle w:val="ListParagraph"/>
        <w:numPr>
          <w:ilvl w:val="0"/>
          <w:numId w:val="12"/>
        </w:numPr>
        <w:ind w:left="567" w:hanging="567"/>
      </w:pPr>
      <w:r>
        <w:t xml:space="preserve">Except as otherwise provided in this Agreement: (a) no remedy conferred by any of the provisions of this Agreement is intended to be exclusive of any other remedy which is otherwise available at law, in equity, by statute or otherwise, and each and every other remedy shall be cumulative and shall be in addition to every other remedy given hereunder or now or hereafter existing at law, in equity, by statute or otherwise; and (b) the election of any one or more of such remedies by any </w:t>
      </w:r>
      <w:r w:rsidR="001D6C95">
        <w:t>Party</w:t>
      </w:r>
      <w:r>
        <w:t xml:space="preserve"> shall not constitute a waiver by such </w:t>
      </w:r>
      <w:r w:rsidR="001D6C95">
        <w:t>Party</w:t>
      </w:r>
      <w:r>
        <w:t xml:space="preserve"> of the right to pursue any other available remedies.</w:t>
      </w:r>
    </w:p>
    <w:p w14:paraId="69C4CC7E" w14:textId="77777777" w:rsidR="00E14B97" w:rsidRDefault="00E14B97" w:rsidP="00E14B97"/>
    <w:p w14:paraId="3DE5E40D" w14:textId="175474F8" w:rsidR="00E14B97" w:rsidRPr="00AC052C" w:rsidRDefault="00E14B97" w:rsidP="00AC052C">
      <w:pPr>
        <w:pStyle w:val="ListParagraph"/>
        <w:numPr>
          <w:ilvl w:val="0"/>
          <w:numId w:val="2"/>
        </w:numPr>
        <w:ind w:left="567" w:hanging="567"/>
        <w:rPr>
          <w:b/>
          <w:bCs/>
        </w:rPr>
      </w:pPr>
      <w:bookmarkStart w:id="3" w:name="_Ref207037832"/>
      <w:r w:rsidRPr="00AC052C">
        <w:rPr>
          <w:b/>
          <w:bCs/>
        </w:rPr>
        <w:t>Termination</w:t>
      </w:r>
      <w:bookmarkEnd w:id="3"/>
    </w:p>
    <w:p w14:paraId="376A9E3D" w14:textId="77777777" w:rsidR="00E14B97" w:rsidRDefault="00E14B97" w:rsidP="00E14B97"/>
    <w:p w14:paraId="104569FF" w14:textId="4882A823" w:rsidR="00E14B97" w:rsidRDefault="002B4027" w:rsidP="00AC052C">
      <w:pPr>
        <w:pStyle w:val="ListParagraph"/>
        <w:numPr>
          <w:ilvl w:val="0"/>
          <w:numId w:val="14"/>
        </w:numPr>
        <w:ind w:left="567" w:hanging="567"/>
      </w:pPr>
      <w:r w:rsidRPr="002B4027">
        <w:t xml:space="preserve">This </w:t>
      </w:r>
      <w:r w:rsidR="00C1184C">
        <w:rPr>
          <w:rFonts w:hint="eastAsia"/>
        </w:rPr>
        <w:t>A</w:t>
      </w:r>
      <w:r w:rsidRPr="002B4027">
        <w:t xml:space="preserve">greement shall remain binding for the Participating Member as part of the membership requirements. </w:t>
      </w:r>
      <w:proofErr w:type="spellStart"/>
      <w:r w:rsidRPr="002B4027">
        <w:t>Leadvisor</w:t>
      </w:r>
      <w:proofErr w:type="spellEnd"/>
      <w:r w:rsidRPr="002B4027">
        <w:t xml:space="preserve"> reserves the right to terminate </w:t>
      </w:r>
      <w:r w:rsidR="00B2590B">
        <w:rPr>
          <w:rFonts w:hint="eastAsia"/>
        </w:rPr>
        <w:t xml:space="preserve">the Platform membership of the Participating Member, and terminate </w:t>
      </w:r>
      <w:r w:rsidRPr="002B4027">
        <w:t>this Agreement with immediate effect upon written notice to the Participating Member in the event of any breach of this Agreement by the Participating Member</w:t>
      </w:r>
      <w:r w:rsidR="00E14B97">
        <w:t>.</w:t>
      </w:r>
      <w:r w:rsidR="001E40A2">
        <w:rPr>
          <w:rFonts w:hint="eastAsia"/>
        </w:rPr>
        <w:t xml:space="preserve"> </w:t>
      </w:r>
    </w:p>
    <w:p w14:paraId="52001B53" w14:textId="77777777" w:rsidR="00E14B97" w:rsidRDefault="00E14B97" w:rsidP="00E14B97"/>
    <w:p w14:paraId="69252820" w14:textId="799472F0" w:rsidR="00E14B97" w:rsidRDefault="00E14B97" w:rsidP="00AC052C">
      <w:pPr>
        <w:pStyle w:val="ListParagraph"/>
        <w:numPr>
          <w:ilvl w:val="0"/>
          <w:numId w:val="14"/>
        </w:numPr>
        <w:ind w:left="567" w:hanging="567"/>
      </w:pPr>
      <w:r>
        <w:t xml:space="preserve">The termination of this </w:t>
      </w:r>
      <w:r w:rsidR="00F32D4B">
        <w:t>Agreement</w:t>
      </w:r>
      <w:r>
        <w:t xml:space="preserve"> shall not affect or prejudice any rights, claims or remedies accrued by either </w:t>
      </w:r>
      <w:r w:rsidR="001D6C95">
        <w:t>Party</w:t>
      </w:r>
      <w:r>
        <w:t xml:space="preserve"> prior to such termination, including without limitation the right to claim damages and to pursue any liability for breach. </w:t>
      </w:r>
    </w:p>
    <w:p w14:paraId="51813FD2" w14:textId="77777777" w:rsidR="00E14B97" w:rsidRDefault="00E14B97" w:rsidP="00E14B97"/>
    <w:p w14:paraId="667A4037" w14:textId="40A3026D" w:rsidR="00E14B97" w:rsidRDefault="00E14B97" w:rsidP="00AC052C">
      <w:pPr>
        <w:pStyle w:val="ListParagraph"/>
        <w:numPr>
          <w:ilvl w:val="0"/>
          <w:numId w:val="14"/>
        </w:numPr>
        <w:ind w:left="567" w:hanging="567"/>
      </w:pPr>
      <w:r>
        <w:t>The provisions of Clauses</w:t>
      </w:r>
      <w:r w:rsidR="00210714">
        <w:rPr>
          <w:rFonts w:hint="eastAsia"/>
        </w:rPr>
        <w:t xml:space="preserve"> </w:t>
      </w:r>
      <w:r w:rsidR="00210714" w:rsidRPr="00210714">
        <w:t>3.4 (Continuing Entitlement)</w:t>
      </w:r>
      <w:r w:rsidR="00210714">
        <w:rPr>
          <w:rFonts w:hint="eastAsia"/>
        </w:rPr>
        <w:t>,</w:t>
      </w:r>
      <w:r>
        <w:t xml:space="preserve"> </w:t>
      </w:r>
      <w:r w:rsidR="001E40A2">
        <w:rPr>
          <w:rFonts w:hint="eastAsia"/>
        </w:rPr>
        <w:t>5</w:t>
      </w:r>
      <w:r>
        <w:t xml:space="preserve"> (Indemnity and Remedies), </w:t>
      </w:r>
      <w:r w:rsidR="001E40A2">
        <w:rPr>
          <w:rFonts w:hint="eastAsia"/>
        </w:rPr>
        <w:t xml:space="preserve">6 </w:t>
      </w:r>
      <w:r>
        <w:t xml:space="preserve">(Termination), </w:t>
      </w:r>
      <w:r w:rsidR="001E40A2">
        <w:rPr>
          <w:rFonts w:hint="eastAsia"/>
        </w:rPr>
        <w:t xml:space="preserve">7 </w:t>
      </w:r>
      <w:r>
        <w:t>(Confidentiality)</w:t>
      </w:r>
      <w:r w:rsidR="001B048D">
        <w:rPr>
          <w:rFonts w:hint="eastAsia"/>
        </w:rPr>
        <w:t xml:space="preserve"> and</w:t>
      </w:r>
      <w:r w:rsidR="001E40A2">
        <w:rPr>
          <w:rFonts w:hint="eastAsia"/>
        </w:rPr>
        <w:t xml:space="preserve"> 8</w:t>
      </w:r>
      <w:r>
        <w:t xml:space="preserve"> (Applicable Laws and Dispute Resolution) shall survive termination of this Agreement.</w:t>
      </w:r>
    </w:p>
    <w:p w14:paraId="7AFE7184" w14:textId="77777777" w:rsidR="00E14B97" w:rsidRDefault="00E14B97" w:rsidP="00E14B97"/>
    <w:p w14:paraId="0E55D89B" w14:textId="5EE537F2" w:rsidR="00E14B97" w:rsidRPr="00AC052C" w:rsidRDefault="00E14B97" w:rsidP="00AC052C">
      <w:pPr>
        <w:pStyle w:val="ListParagraph"/>
        <w:numPr>
          <w:ilvl w:val="0"/>
          <w:numId w:val="2"/>
        </w:numPr>
        <w:ind w:left="567" w:hanging="567"/>
        <w:rPr>
          <w:b/>
          <w:bCs/>
        </w:rPr>
      </w:pPr>
      <w:bookmarkStart w:id="4" w:name="_Ref207038424"/>
      <w:r w:rsidRPr="00AC052C">
        <w:rPr>
          <w:b/>
          <w:bCs/>
        </w:rPr>
        <w:t>Confidentiality</w:t>
      </w:r>
      <w:bookmarkEnd w:id="4"/>
    </w:p>
    <w:p w14:paraId="0E636B55" w14:textId="77777777" w:rsidR="00E14B97" w:rsidRDefault="00E14B97" w:rsidP="00E14B97"/>
    <w:p w14:paraId="17195820" w14:textId="5C4889B8" w:rsidR="00E14B97" w:rsidRDefault="0089785F" w:rsidP="00D658CC">
      <w:pPr>
        <w:pStyle w:val="ListParagraph"/>
        <w:ind w:left="567"/>
      </w:pPr>
      <w:r w:rsidRPr="0089785F">
        <w:t>Each Party shall keep confidential and not disclose to any third party, nor use for any purpose other than the performance of this Agreement, any non-public information received from the other Party in connection with this Agreement, except where disclosure is required by law, regulation, or court order.</w:t>
      </w:r>
    </w:p>
    <w:p w14:paraId="42567899" w14:textId="77777777" w:rsidR="00E14B97" w:rsidRDefault="00E14B97" w:rsidP="00E14B97"/>
    <w:p w14:paraId="0A5D6F89" w14:textId="0D432EC8" w:rsidR="00E14B97" w:rsidRPr="00BD131D" w:rsidRDefault="00E14B97" w:rsidP="00BD131D">
      <w:pPr>
        <w:pStyle w:val="ListParagraph"/>
        <w:numPr>
          <w:ilvl w:val="0"/>
          <w:numId w:val="2"/>
        </w:numPr>
        <w:ind w:left="567" w:hanging="567"/>
        <w:rPr>
          <w:b/>
          <w:bCs/>
        </w:rPr>
      </w:pPr>
      <w:bookmarkStart w:id="5" w:name="_Ref207038431"/>
      <w:r w:rsidRPr="00BD131D">
        <w:rPr>
          <w:b/>
          <w:bCs/>
        </w:rPr>
        <w:t>Applicable Laws and Dispute Resolution</w:t>
      </w:r>
      <w:bookmarkEnd w:id="5"/>
    </w:p>
    <w:p w14:paraId="3D8C881A" w14:textId="77777777" w:rsidR="00E14B97" w:rsidRDefault="00E14B97" w:rsidP="00E14B97"/>
    <w:p w14:paraId="534E232A" w14:textId="7253F2E8" w:rsidR="00E14B97" w:rsidRDefault="00E14B97" w:rsidP="00BD131D">
      <w:pPr>
        <w:pStyle w:val="ListParagraph"/>
        <w:numPr>
          <w:ilvl w:val="0"/>
          <w:numId w:val="16"/>
        </w:numPr>
        <w:ind w:left="567" w:hanging="567"/>
      </w:pPr>
      <w:r>
        <w:t xml:space="preserve">This </w:t>
      </w:r>
      <w:r w:rsidR="00F32D4B">
        <w:t>Agreement</w:t>
      </w:r>
      <w:r>
        <w:t xml:space="preserve"> shall be construed in accordance with and governed by the laws of </w:t>
      </w:r>
      <w:r w:rsidR="007A4552">
        <w:rPr>
          <w:rFonts w:hint="eastAsia"/>
        </w:rPr>
        <w:t>Hong Kong</w:t>
      </w:r>
      <w:r>
        <w:t>.</w:t>
      </w:r>
    </w:p>
    <w:p w14:paraId="77A7D44D" w14:textId="77777777" w:rsidR="00E14B97" w:rsidRDefault="00E14B97" w:rsidP="00E14B97"/>
    <w:p w14:paraId="7C888A33" w14:textId="6A6E286D" w:rsidR="00E14B97" w:rsidRDefault="000249BE" w:rsidP="00BD131D">
      <w:pPr>
        <w:pStyle w:val="ListParagraph"/>
        <w:numPr>
          <w:ilvl w:val="0"/>
          <w:numId w:val="16"/>
        </w:numPr>
        <w:ind w:left="567" w:hanging="567"/>
      </w:pPr>
      <w:r w:rsidRPr="000249BE">
        <w:t>In the event such dispute is not resolved through consultations within sixty (60) days after the date such consultations were first requested in writing by a Party, then any Party may submit the dispute for arbitration administered by the Hong Kong International Arbitration Centre (the “</w:t>
      </w:r>
      <w:r w:rsidRPr="00974D63">
        <w:rPr>
          <w:b/>
          <w:bCs/>
        </w:rPr>
        <w:t>HKIAC</w:t>
      </w:r>
      <w:r w:rsidRPr="000249BE">
        <w:t>”) in accordance with the HKIAC Administered Arbitration Rules (the “</w:t>
      </w:r>
      <w:r w:rsidRPr="00974D63">
        <w:rPr>
          <w:b/>
          <w:bCs/>
        </w:rPr>
        <w:t>HKIAC Rules</w:t>
      </w:r>
      <w:r w:rsidRPr="000249BE">
        <w:t xml:space="preserve">”) for the time being in force, which rules are deemed to be incorporated by reference in this clause. The seat of the arbitration shall be Hong Kong. The tribunal shall consist of three (3) arbitrators to be appointed according to HKIAC Rules. The language of the arbitration shall be </w:t>
      </w:r>
      <w:r w:rsidR="003A5881">
        <w:rPr>
          <w:rFonts w:hint="eastAsia"/>
        </w:rPr>
        <w:t>English</w:t>
      </w:r>
      <w:r w:rsidRPr="000249BE">
        <w:t>.</w:t>
      </w:r>
      <w:r w:rsidR="00E14B97">
        <w:t xml:space="preserve"> </w:t>
      </w:r>
      <w:r w:rsidR="00CD5D1A" w:rsidRPr="00CD5D1A">
        <w:t xml:space="preserve">The arbitral award shall be final and binding upon the </w:t>
      </w:r>
      <w:r w:rsidR="006549FE">
        <w:rPr>
          <w:rFonts w:hint="eastAsia"/>
        </w:rPr>
        <w:t>P</w:t>
      </w:r>
      <w:r w:rsidR="00CD5D1A" w:rsidRPr="00CD5D1A">
        <w:t xml:space="preserve">arties. </w:t>
      </w:r>
    </w:p>
    <w:p w14:paraId="733DF19C" w14:textId="77777777" w:rsidR="000802B7" w:rsidRDefault="000802B7" w:rsidP="000802B7"/>
    <w:p w14:paraId="4F80E20D" w14:textId="29DAE6AB" w:rsidR="00E14B97" w:rsidRPr="00C0093C" w:rsidRDefault="00E14B97" w:rsidP="00621C66">
      <w:pPr>
        <w:pStyle w:val="ListParagraph"/>
        <w:numPr>
          <w:ilvl w:val="0"/>
          <w:numId w:val="2"/>
        </w:numPr>
        <w:ind w:left="567" w:hanging="567"/>
        <w:rPr>
          <w:b/>
          <w:bCs/>
        </w:rPr>
      </w:pPr>
      <w:r w:rsidRPr="00C0093C">
        <w:rPr>
          <w:b/>
          <w:bCs/>
        </w:rPr>
        <w:t>Non-Exclusivity</w:t>
      </w:r>
    </w:p>
    <w:p w14:paraId="1E6CED75" w14:textId="77777777" w:rsidR="00E14B97" w:rsidRPr="00C0093C" w:rsidRDefault="00E14B97" w:rsidP="00E14B97"/>
    <w:p w14:paraId="53DE6816" w14:textId="61379599" w:rsidR="00E14B97" w:rsidRDefault="005519AF" w:rsidP="00D658CC">
      <w:pPr>
        <w:pStyle w:val="ListParagraph"/>
        <w:ind w:left="567"/>
      </w:pPr>
      <w:r w:rsidRPr="00C0093C">
        <w:t>This Agreement shall not be considered as creating any exclusivity of cooperation or support for either Party.</w:t>
      </w:r>
      <w:r w:rsidR="00E14B97">
        <w:t xml:space="preserve"> </w:t>
      </w:r>
    </w:p>
    <w:p w14:paraId="2571D4CE" w14:textId="77777777" w:rsidR="005A1831" w:rsidRDefault="005A1831" w:rsidP="00E14B97"/>
    <w:p w14:paraId="11000442" w14:textId="420C532A" w:rsidR="005A1831" w:rsidRPr="008713B9" w:rsidRDefault="008713B9" w:rsidP="005A1831">
      <w:pPr>
        <w:pStyle w:val="ListParagraph"/>
        <w:numPr>
          <w:ilvl w:val="0"/>
          <w:numId w:val="2"/>
        </w:numPr>
        <w:ind w:left="567" w:hanging="567"/>
        <w:rPr>
          <w:b/>
          <w:bCs/>
        </w:rPr>
      </w:pPr>
      <w:r w:rsidRPr="008713B9">
        <w:rPr>
          <w:b/>
          <w:bCs/>
        </w:rPr>
        <w:t>Miscellaneous</w:t>
      </w:r>
    </w:p>
    <w:p w14:paraId="2A886BFB" w14:textId="77777777" w:rsidR="008713B9" w:rsidRDefault="008713B9" w:rsidP="00E14B97"/>
    <w:p w14:paraId="19BE2553" w14:textId="600C420E" w:rsidR="00877F0C" w:rsidRDefault="00370535" w:rsidP="00877F0C">
      <w:pPr>
        <w:pStyle w:val="ListParagraph"/>
        <w:numPr>
          <w:ilvl w:val="0"/>
          <w:numId w:val="31"/>
        </w:numPr>
        <w:ind w:left="567" w:hanging="567"/>
      </w:pPr>
      <w:r w:rsidRPr="00370535">
        <w:t xml:space="preserve">This Agreement shall take effect and become binding on the Parties as of </w:t>
      </w:r>
      <w:r w:rsidR="00877F0C" w:rsidRPr="00877F0C">
        <w:t>September 12, 2025</w:t>
      </w:r>
      <w:r w:rsidRPr="00370535">
        <w:t>, and shall remain in full force and effect unless and until terminated in accordance with Clause 6 (Termination).</w:t>
      </w:r>
      <w:r w:rsidR="00877F0C" w:rsidRPr="00877F0C">
        <w:rPr>
          <w:rFonts w:hint="eastAsia"/>
        </w:rPr>
        <w:t xml:space="preserve"> </w:t>
      </w:r>
      <w:r w:rsidR="00877F0C">
        <w:rPr>
          <w:rFonts w:hint="eastAsia"/>
        </w:rPr>
        <w:t>For a new Member, b</w:t>
      </w:r>
      <w:r w:rsidR="00877F0C" w:rsidRPr="006D204E">
        <w:t>y submitting the Member Request and receiving approval</w:t>
      </w:r>
      <w:r w:rsidR="00877F0C">
        <w:rPr>
          <w:rFonts w:hint="eastAsia"/>
        </w:rPr>
        <w:t xml:space="preserve"> by the Platform</w:t>
      </w:r>
      <w:r w:rsidR="00877F0C" w:rsidRPr="006D204E">
        <w:t xml:space="preserve">, the </w:t>
      </w:r>
      <w:r w:rsidR="00877F0C">
        <w:rPr>
          <w:rFonts w:hint="eastAsia"/>
        </w:rPr>
        <w:t>new Member</w:t>
      </w:r>
      <w:r w:rsidR="00877F0C" w:rsidRPr="006D204E">
        <w:t xml:space="preserve"> agrees to abide by the terms and conditions set forth in this Agreement.</w:t>
      </w:r>
    </w:p>
    <w:p w14:paraId="74917200" w14:textId="77777777" w:rsidR="00370535" w:rsidRDefault="00370535" w:rsidP="00370535">
      <w:pPr>
        <w:pStyle w:val="ListParagraph"/>
        <w:ind w:left="567"/>
      </w:pPr>
    </w:p>
    <w:p w14:paraId="2236173F" w14:textId="65CAE67F" w:rsidR="00F530B0" w:rsidRDefault="00370535" w:rsidP="00435CE0">
      <w:pPr>
        <w:pStyle w:val="ListParagraph"/>
        <w:numPr>
          <w:ilvl w:val="0"/>
          <w:numId w:val="31"/>
        </w:numPr>
        <w:ind w:left="567" w:hanging="567"/>
      </w:pPr>
      <w:r w:rsidRPr="009A42C2">
        <w:t xml:space="preserve">This Agreement constitutes the entire agreement between the Parties and supersedes all prior representations, communications, understandings and agreements, whether written or oral, relating to the subject matter hereof. </w:t>
      </w:r>
    </w:p>
    <w:sectPr w:rsidR="00F530B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D414" w14:textId="77777777" w:rsidR="00AF06CF" w:rsidRDefault="00AF06CF" w:rsidP="0000279F">
      <w:r>
        <w:separator/>
      </w:r>
    </w:p>
  </w:endnote>
  <w:endnote w:type="continuationSeparator" w:id="0">
    <w:p w14:paraId="5185A3E5" w14:textId="77777777" w:rsidR="00AF06CF" w:rsidRDefault="00AF06CF" w:rsidP="0000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546872"/>
      <w:docPartObj>
        <w:docPartGallery w:val="Page Numbers (Bottom of Page)"/>
        <w:docPartUnique/>
      </w:docPartObj>
    </w:sdtPr>
    <w:sdtContent>
      <w:sdt>
        <w:sdtPr>
          <w:id w:val="-1705238520"/>
          <w:docPartObj>
            <w:docPartGallery w:val="Page Numbers (Top of Page)"/>
            <w:docPartUnique/>
          </w:docPartObj>
        </w:sdtPr>
        <w:sdtContent>
          <w:p w14:paraId="4A63A2F5" w14:textId="1C68A9E3" w:rsidR="0000279F" w:rsidRDefault="0000279F" w:rsidP="0000279F">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C92B0F8" w14:textId="77777777" w:rsidR="0000279F" w:rsidRDefault="00002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50C93" w14:textId="77777777" w:rsidR="00AF06CF" w:rsidRDefault="00AF06CF" w:rsidP="0000279F">
      <w:r>
        <w:separator/>
      </w:r>
    </w:p>
  </w:footnote>
  <w:footnote w:type="continuationSeparator" w:id="0">
    <w:p w14:paraId="5FB04B67" w14:textId="77777777" w:rsidR="00AF06CF" w:rsidRDefault="00AF06CF" w:rsidP="00002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6C3"/>
    <w:multiLevelType w:val="hybridMultilevel"/>
    <w:tmpl w:val="CDE68452"/>
    <w:lvl w:ilvl="0" w:tplc="BB3A53CE">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85E4158"/>
    <w:multiLevelType w:val="hybridMultilevel"/>
    <w:tmpl w:val="0E6A476A"/>
    <w:lvl w:ilvl="0" w:tplc="3EC6B11A">
      <w:start w:val="1"/>
      <w:numFmt w:val="decimal"/>
      <w:lvlText w:val="3.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A0643AC"/>
    <w:multiLevelType w:val="hybridMultilevel"/>
    <w:tmpl w:val="D9CE5B32"/>
    <w:lvl w:ilvl="0" w:tplc="F6C47960">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B613FEC"/>
    <w:multiLevelType w:val="hybridMultilevel"/>
    <w:tmpl w:val="E9D2C19A"/>
    <w:lvl w:ilvl="0" w:tplc="BB3A53CE">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C6D72CA"/>
    <w:multiLevelType w:val="hybridMultilevel"/>
    <w:tmpl w:val="5AB8AB6E"/>
    <w:lvl w:ilvl="0" w:tplc="6F80F6DC">
      <w:start w:val="1"/>
      <w:numFmt w:val="decimal"/>
      <w:lvlText w:val="3.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7A2539C"/>
    <w:multiLevelType w:val="hybridMultilevel"/>
    <w:tmpl w:val="BADAF278"/>
    <w:lvl w:ilvl="0" w:tplc="B9543F68">
      <w:start w:val="1"/>
      <w:numFmt w:val="decimal"/>
      <w:lvlText w:val="4.%1"/>
      <w:lvlJc w:val="left"/>
      <w:pPr>
        <w:ind w:left="440" w:hanging="440"/>
      </w:pPr>
      <w:rPr>
        <w:rFonts w:hint="eastAsia"/>
        <w:b w:val="0"/>
        <w:bCs w:val="0"/>
        <w:sz w:val="21"/>
        <w:szCs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7D008A6"/>
    <w:multiLevelType w:val="hybridMultilevel"/>
    <w:tmpl w:val="17B26B8A"/>
    <w:lvl w:ilvl="0" w:tplc="D9A4105E">
      <w:start w:val="1"/>
      <w:numFmt w:val="lowerRoman"/>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821247B"/>
    <w:multiLevelType w:val="hybridMultilevel"/>
    <w:tmpl w:val="F074572E"/>
    <w:lvl w:ilvl="0" w:tplc="FFFFFFFF">
      <w:start w:val="1"/>
      <w:numFmt w:val="lowerLetter"/>
      <w:lvlText w:val="(%1)"/>
      <w:lvlJc w:val="left"/>
      <w:pPr>
        <w:ind w:left="1007" w:hanging="440"/>
      </w:pPr>
      <w:rPr>
        <w:rFonts w:hint="eastAsia"/>
      </w:r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8" w15:restartNumberingAfterBreak="0">
    <w:nsid w:val="300F62AA"/>
    <w:multiLevelType w:val="hybridMultilevel"/>
    <w:tmpl w:val="BF50155C"/>
    <w:lvl w:ilvl="0" w:tplc="BB3A53CE">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263346F"/>
    <w:multiLevelType w:val="hybridMultilevel"/>
    <w:tmpl w:val="9E76978A"/>
    <w:lvl w:ilvl="0" w:tplc="0C242AF8">
      <w:start w:val="1"/>
      <w:numFmt w:val="decimal"/>
      <w:lvlText w:val="2.2.%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27A3A32"/>
    <w:multiLevelType w:val="hybridMultilevel"/>
    <w:tmpl w:val="A5C4034A"/>
    <w:lvl w:ilvl="0" w:tplc="EA708992">
      <w:start w:val="1"/>
      <w:numFmt w:val="decimal"/>
      <w:lvlText w:val="2.%1"/>
      <w:lvlJc w:val="left"/>
      <w:pPr>
        <w:ind w:left="440" w:hanging="440"/>
      </w:pPr>
      <w:rPr>
        <w:rFonts w:hint="eastAsia"/>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E6B54D5"/>
    <w:multiLevelType w:val="hybridMultilevel"/>
    <w:tmpl w:val="B3D0C39A"/>
    <w:lvl w:ilvl="0" w:tplc="7450A6F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F5C7B7D"/>
    <w:multiLevelType w:val="hybridMultilevel"/>
    <w:tmpl w:val="D18681C8"/>
    <w:lvl w:ilvl="0" w:tplc="D17C0A08">
      <w:start w:val="1"/>
      <w:numFmt w:val="decimal"/>
      <w:lvlText w:val="3.%1"/>
      <w:lvlJc w:val="left"/>
      <w:pPr>
        <w:ind w:left="440" w:hanging="440"/>
      </w:pPr>
      <w:rPr>
        <w:rFonts w:ascii="Times New Roman" w:hAnsi="Times New Roman" w:cs="Times New Roman" w:hint="default"/>
        <w:sz w:val="21"/>
        <w:szCs w:val="21"/>
      </w:rPr>
    </w:lvl>
    <w:lvl w:ilvl="1" w:tplc="6D82A368">
      <w:start w:val="1"/>
      <w:numFmt w:val="lowerLetter"/>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499612D"/>
    <w:multiLevelType w:val="hybridMultilevel"/>
    <w:tmpl w:val="A1C0EF6C"/>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AFC6361"/>
    <w:multiLevelType w:val="hybridMultilevel"/>
    <w:tmpl w:val="9D400970"/>
    <w:lvl w:ilvl="0" w:tplc="BB3A53CE">
      <w:start w:val="1"/>
      <w:numFmt w:val="lowerLetter"/>
      <w:lvlText w:val="(%1)"/>
      <w:lvlJc w:val="left"/>
      <w:pPr>
        <w:ind w:left="1007" w:hanging="440"/>
      </w:pPr>
      <w:rPr>
        <w:rFonts w:hint="eastAsia"/>
      </w:rPr>
    </w:lvl>
    <w:lvl w:ilvl="1" w:tplc="04090019">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5" w15:restartNumberingAfterBreak="0">
    <w:nsid w:val="4B861638"/>
    <w:multiLevelType w:val="hybridMultilevel"/>
    <w:tmpl w:val="5D5ACA5A"/>
    <w:lvl w:ilvl="0" w:tplc="6E32DE9E">
      <w:start w:val="1"/>
      <w:numFmt w:val="decimal"/>
      <w:lvlText w:val="5.%1"/>
      <w:lvlJc w:val="left"/>
      <w:pPr>
        <w:ind w:left="440" w:hanging="440"/>
      </w:pPr>
      <w:rPr>
        <w:rFonts w:hint="eastAsia"/>
        <w:b w:val="0"/>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92077C5"/>
    <w:multiLevelType w:val="hybridMultilevel"/>
    <w:tmpl w:val="44D862AC"/>
    <w:lvl w:ilvl="0" w:tplc="EEB2B7E4">
      <w:start w:val="1"/>
      <w:numFmt w:val="decimal"/>
      <w:lvlText w:val="3.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9CD4D1C"/>
    <w:multiLevelType w:val="hybridMultilevel"/>
    <w:tmpl w:val="3140DC94"/>
    <w:lvl w:ilvl="0" w:tplc="D65E6118">
      <w:start w:val="1"/>
      <w:numFmt w:val="decimal"/>
      <w:lvlText w:val="%1."/>
      <w:lvlJc w:val="left"/>
      <w:pPr>
        <w:ind w:left="440" w:hanging="440"/>
      </w:pPr>
      <w:rPr>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AB0606A"/>
    <w:multiLevelType w:val="hybridMultilevel"/>
    <w:tmpl w:val="A7F4F002"/>
    <w:lvl w:ilvl="0" w:tplc="2B42DED8">
      <w:start w:val="1"/>
      <w:numFmt w:val="decimal"/>
      <w:lvlText w:val="2.%1"/>
      <w:lvlJc w:val="left"/>
      <w:pPr>
        <w:ind w:left="440" w:hanging="440"/>
      </w:pPr>
      <w:rPr>
        <w:rFonts w:hint="eastAsia"/>
        <w:sz w:val="21"/>
        <w:szCs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10C50C6"/>
    <w:multiLevelType w:val="hybridMultilevel"/>
    <w:tmpl w:val="F074572E"/>
    <w:lvl w:ilvl="0" w:tplc="BB3A53CE">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634635C7"/>
    <w:multiLevelType w:val="hybridMultilevel"/>
    <w:tmpl w:val="2D08D96E"/>
    <w:lvl w:ilvl="0" w:tplc="55147408">
      <w:start w:val="1"/>
      <w:numFmt w:val="lowerLetter"/>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5553109"/>
    <w:multiLevelType w:val="hybridMultilevel"/>
    <w:tmpl w:val="E766FB2C"/>
    <w:lvl w:ilvl="0" w:tplc="5CAA4BA4">
      <w:start w:val="1"/>
      <w:numFmt w:val="decimal"/>
      <w:lvlText w:val="8.%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68497A0E"/>
    <w:multiLevelType w:val="hybridMultilevel"/>
    <w:tmpl w:val="75A83964"/>
    <w:lvl w:ilvl="0" w:tplc="BB3A53CE">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A5336B4"/>
    <w:multiLevelType w:val="hybridMultilevel"/>
    <w:tmpl w:val="1E96BCF0"/>
    <w:lvl w:ilvl="0" w:tplc="DDEC3CF2">
      <w:start w:val="1"/>
      <w:numFmt w:val="decimal"/>
      <w:lvlText w:val="12.%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B574782"/>
    <w:multiLevelType w:val="hybridMultilevel"/>
    <w:tmpl w:val="E1005458"/>
    <w:lvl w:ilvl="0" w:tplc="919A2454">
      <w:start w:val="1"/>
      <w:numFmt w:val="decimal"/>
      <w:lvlText w:val="9.%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E895B38"/>
    <w:multiLevelType w:val="hybridMultilevel"/>
    <w:tmpl w:val="A7DC49F8"/>
    <w:lvl w:ilvl="0" w:tplc="28D24582">
      <w:start w:val="1"/>
      <w:numFmt w:val="decimal"/>
      <w:lvlText w:val="13.%1"/>
      <w:lvlJc w:val="left"/>
      <w:pPr>
        <w:ind w:left="440" w:hanging="440"/>
      </w:pPr>
      <w:rPr>
        <w:rFonts w:ascii="Times New Roman" w:eastAsia="SimSun" w:hAnsi="SimSun" w:cs="Times New Roman" w:hint="eastAsia"/>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F23724D"/>
    <w:multiLevelType w:val="hybridMultilevel"/>
    <w:tmpl w:val="0F4C427A"/>
    <w:lvl w:ilvl="0" w:tplc="FD621FB8">
      <w:start w:val="1"/>
      <w:numFmt w:val="decimal"/>
      <w:lvlText w:val="7.%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71AE7ACD"/>
    <w:multiLevelType w:val="hybridMultilevel"/>
    <w:tmpl w:val="B41E8166"/>
    <w:lvl w:ilvl="0" w:tplc="8EC476EE">
      <w:start w:val="1"/>
      <w:numFmt w:val="decimal"/>
      <w:lvlText w:val="10.%1"/>
      <w:lvlJc w:val="left"/>
      <w:pPr>
        <w:ind w:left="440" w:hanging="440"/>
      </w:pPr>
      <w:rPr>
        <w:rFonts w:hint="eastAsia"/>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73752A15"/>
    <w:multiLevelType w:val="hybridMultilevel"/>
    <w:tmpl w:val="21066646"/>
    <w:lvl w:ilvl="0" w:tplc="3BFC8CB0">
      <w:start w:val="1"/>
      <w:numFmt w:val="decimal"/>
      <w:lvlText w:val="10.%1"/>
      <w:lvlJc w:val="left"/>
      <w:pPr>
        <w:ind w:left="440" w:hanging="44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6E20925"/>
    <w:multiLevelType w:val="hybridMultilevel"/>
    <w:tmpl w:val="D2F20B54"/>
    <w:lvl w:ilvl="0" w:tplc="4BA8E5CC">
      <w:start w:val="1"/>
      <w:numFmt w:val="decimal"/>
      <w:lvlText w:val="6.%1"/>
      <w:lvlJc w:val="left"/>
      <w:pPr>
        <w:ind w:left="440" w:hanging="440"/>
      </w:pPr>
      <w:rPr>
        <w:rFonts w:ascii="Times New Roman" w:eastAsia="SimSun" w:hAnsi="SimSun" w:cs="Times New Roman" w:hint="eastAsia"/>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775F502D"/>
    <w:multiLevelType w:val="hybridMultilevel"/>
    <w:tmpl w:val="121C0A6C"/>
    <w:lvl w:ilvl="0" w:tplc="BB3A53CE">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7A945771"/>
    <w:multiLevelType w:val="hybridMultilevel"/>
    <w:tmpl w:val="82928C66"/>
    <w:lvl w:ilvl="0" w:tplc="CB32F88A">
      <w:start w:val="1"/>
      <w:numFmt w:val="decimal"/>
      <w:lvlText w:val="1.%1"/>
      <w:lvlJc w:val="left"/>
      <w:pPr>
        <w:ind w:left="440" w:hanging="440"/>
      </w:pPr>
      <w:rPr>
        <w:rFonts w:hint="default"/>
        <w:b w:val="0"/>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46714050">
    <w:abstractNumId w:val="13"/>
  </w:num>
  <w:num w:numId="2" w16cid:durableId="1220165774">
    <w:abstractNumId w:val="17"/>
  </w:num>
  <w:num w:numId="3" w16cid:durableId="1413620711">
    <w:abstractNumId w:val="2"/>
  </w:num>
  <w:num w:numId="4" w16cid:durableId="1753088762">
    <w:abstractNumId w:val="20"/>
  </w:num>
  <w:num w:numId="5" w16cid:durableId="5013227">
    <w:abstractNumId w:val="18"/>
  </w:num>
  <w:num w:numId="6" w16cid:durableId="1667123902">
    <w:abstractNumId w:val="10"/>
  </w:num>
  <w:num w:numId="7" w16cid:durableId="394016536">
    <w:abstractNumId w:val="12"/>
  </w:num>
  <w:num w:numId="8" w16cid:durableId="613294939">
    <w:abstractNumId w:val="4"/>
  </w:num>
  <w:num w:numId="9" w16cid:durableId="1538081520">
    <w:abstractNumId w:val="8"/>
  </w:num>
  <w:num w:numId="10" w16cid:durableId="1569463838">
    <w:abstractNumId w:val="5"/>
  </w:num>
  <w:num w:numId="11" w16cid:durableId="1477142257">
    <w:abstractNumId w:val="22"/>
  </w:num>
  <w:num w:numId="12" w16cid:durableId="1483038351">
    <w:abstractNumId w:val="15"/>
  </w:num>
  <w:num w:numId="13" w16cid:durableId="527909230">
    <w:abstractNumId w:val="19"/>
  </w:num>
  <w:num w:numId="14" w16cid:durableId="473644495">
    <w:abstractNumId w:val="29"/>
  </w:num>
  <w:num w:numId="15" w16cid:durableId="1387560390">
    <w:abstractNumId w:val="26"/>
  </w:num>
  <w:num w:numId="16" w16cid:durableId="1993168920">
    <w:abstractNumId w:val="21"/>
  </w:num>
  <w:num w:numId="17" w16cid:durableId="1251038599">
    <w:abstractNumId w:val="24"/>
  </w:num>
  <w:num w:numId="18" w16cid:durableId="729041774">
    <w:abstractNumId w:val="27"/>
  </w:num>
  <w:num w:numId="19" w16cid:durableId="557784011">
    <w:abstractNumId w:val="0"/>
  </w:num>
  <w:num w:numId="20" w16cid:durableId="1871146138">
    <w:abstractNumId w:val="6"/>
  </w:num>
  <w:num w:numId="21" w16cid:durableId="211818946">
    <w:abstractNumId w:val="23"/>
  </w:num>
  <w:num w:numId="22" w16cid:durableId="1199851303">
    <w:abstractNumId w:val="25"/>
  </w:num>
  <w:num w:numId="23" w16cid:durableId="873031659">
    <w:abstractNumId w:val="30"/>
  </w:num>
  <w:num w:numId="24" w16cid:durableId="1866164253">
    <w:abstractNumId w:val="31"/>
  </w:num>
  <w:num w:numId="25" w16cid:durableId="261569177">
    <w:abstractNumId w:val="11"/>
  </w:num>
  <w:num w:numId="26" w16cid:durableId="110167538">
    <w:abstractNumId w:val="14"/>
  </w:num>
  <w:num w:numId="27" w16cid:durableId="1631092364">
    <w:abstractNumId w:val="3"/>
  </w:num>
  <w:num w:numId="28" w16cid:durableId="1875727841">
    <w:abstractNumId w:val="16"/>
  </w:num>
  <w:num w:numId="29" w16cid:durableId="804935865">
    <w:abstractNumId w:val="1"/>
  </w:num>
  <w:num w:numId="30" w16cid:durableId="1809087587">
    <w:abstractNumId w:val="9"/>
  </w:num>
  <w:num w:numId="31" w16cid:durableId="1993216437">
    <w:abstractNumId w:val="28"/>
  </w:num>
  <w:num w:numId="32" w16cid:durableId="1117145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97"/>
    <w:rsid w:val="0000279F"/>
    <w:rsid w:val="00007D56"/>
    <w:rsid w:val="00023859"/>
    <w:rsid w:val="000249BE"/>
    <w:rsid w:val="00024C04"/>
    <w:rsid w:val="000345FA"/>
    <w:rsid w:val="00035E53"/>
    <w:rsid w:val="00052B62"/>
    <w:rsid w:val="00063CD2"/>
    <w:rsid w:val="00065E9D"/>
    <w:rsid w:val="0006641B"/>
    <w:rsid w:val="000671D7"/>
    <w:rsid w:val="00074C40"/>
    <w:rsid w:val="000802B7"/>
    <w:rsid w:val="00082797"/>
    <w:rsid w:val="00090298"/>
    <w:rsid w:val="0009262E"/>
    <w:rsid w:val="000A5607"/>
    <w:rsid w:val="000A67C9"/>
    <w:rsid w:val="000B0E7A"/>
    <w:rsid w:val="000C369B"/>
    <w:rsid w:val="000C413F"/>
    <w:rsid w:val="000C53FB"/>
    <w:rsid w:val="000E7530"/>
    <w:rsid w:val="000F66D5"/>
    <w:rsid w:val="000F7DBB"/>
    <w:rsid w:val="00106DE5"/>
    <w:rsid w:val="001109E6"/>
    <w:rsid w:val="00111088"/>
    <w:rsid w:val="00116C26"/>
    <w:rsid w:val="00117944"/>
    <w:rsid w:val="00125538"/>
    <w:rsid w:val="00127BC8"/>
    <w:rsid w:val="0013579B"/>
    <w:rsid w:val="00143257"/>
    <w:rsid w:val="0014735A"/>
    <w:rsid w:val="00155541"/>
    <w:rsid w:val="00162C5F"/>
    <w:rsid w:val="001671B9"/>
    <w:rsid w:val="001702A6"/>
    <w:rsid w:val="00183E71"/>
    <w:rsid w:val="00192495"/>
    <w:rsid w:val="00194678"/>
    <w:rsid w:val="001A14DC"/>
    <w:rsid w:val="001A154D"/>
    <w:rsid w:val="001A558D"/>
    <w:rsid w:val="001B048D"/>
    <w:rsid w:val="001B25D9"/>
    <w:rsid w:val="001B6071"/>
    <w:rsid w:val="001C491D"/>
    <w:rsid w:val="001C4AE9"/>
    <w:rsid w:val="001D179C"/>
    <w:rsid w:val="001D49A1"/>
    <w:rsid w:val="001D6C95"/>
    <w:rsid w:val="001E40A2"/>
    <w:rsid w:val="001E4B0C"/>
    <w:rsid w:val="001E519D"/>
    <w:rsid w:val="001F04DF"/>
    <w:rsid w:val="001F2388"/>
    <w:rsid w:val="001F49C2"/>
    <w:rsid w:val="00201A65"/>
    <w:rsid w:val="0020301F"/>
    <w:rsid w:val="00203FCD"/>
    <w:rsid w:val="00204287"/>
    <w:rsid w:val="00210714"/>
    <w:rsid w:val="0023078B"/>
    <w:rsid w:val="00256219"/>
    <w:rsid w:val="00266A27"/>
    <w:rsid w:val="002759C8"/>
    <w:rsid w:val="00276695"/>
    <w:rsid w:val="00277F23"/>
    <w:rsid w:val="0029501F"/>
    <w:rsid w:val="002A037D"/>
    <w:rsid w:val="002A3B19"/>
    <w:rsid w:val="002A7888"/>
    <w:rsid w:val="002B4027"/>
    <w:rsid w:val="002C3868"/>
    <w:rsid w:val="003013F3"/>
    <w:rsid w:val="003069D9"/>
    <w:rsid w:val="00336260"/>
    <w:rsid w:val="00337D72"/>
    <w:rsid w:val="00344EBD"/>
    <w:rsid w:val="003564E6"/>
    <w:rsid w:val="00366584"/>
    <w:rsid w:val="00370535"/>
    <w:rsid w:val="00376967"/>
    <w:rsid w:val="00382684"/>
    <w:rsid w:val="003910B3"/>
    <w:rsid w:val="003934AE"/>
    <w:rsid w:val="003A5881"/>
    <w:rsid w:val="003B1F16"/>
    <w:rsid w:val="003B369E"/>
    <w:rsid w:val="003B4148"/>
    <w:rsid w:val="003B5329"/>
    <w:rsid w:val="003C1EA7"/>
    <w:rsid w:val="003C745B"/>
    <w:rsid w:val="003E4BAD"/>
    <w:rsid w:val="003E7B60"/>
    <w:rsid w:val="003F1AD2"/>
    <w:rsid w:val="00421F70"/>
    <w:rsid w:val="00424BC1"/>
    <w:rsid w:val="00424C17"/>
    <w:rsid w:val="00435CE0"/>
    <w:rsid w:val="00436416"/>
    <w:rsid w:val="00436830"/>
    <w:rsid w:val="00442388"/>
    <w:rsid w:val="0044558C"/>
    <w:rsid w:val="004502ED"/>
    <w:rsid w:val="00451E57"/>
    <w:rsid w:val="0045729B"/>
    <w:rsid w:val="00457C61"/>
    <w:rsid w:val="0046050D"/>
    <w:rsid w:val="00467822"/>
    <w:rsid w:val="004A1FBF"/>
    <w:rsid w:val="004B572C"/>
    <w:rsid w:val="004B5AE0"/>
    <w:rsid w:val="004C3F78"/>
    <w:rsid w:val="004C4FF5"/>
    <w:rsid w:val="004D2321"/>
    <w:rsid w:val="004D469E"/>
    <w:rsid w:val="004E42C9"/>
    <w:rsid w:val="00503F44"/>
    <w:rsid w:val="0053328A"/>
    <w:rsid w:val="00542535"/>
    <w:rsid w:val="0055014F"/>
    <w:rsid w:val="005519AF"/>
    <w:rsid w:val="005531EC"/>
    <w:rsid w:val="00560BE3"/>
    <w:rsid w:val="005728C4"/>
    <w:rsid w:val="005866D1"/>
    <w:rsid w:val="0058761C"/>
    <w:rsid w:val="0059290D"/>
    <w:rsid w:val="0059503C"/>
    <w:rsid w:val="005951D0"/>
    <w:rsid w:val="005A09C9"/>
    <w:rsid w:val="005A09FB"/>
    <w:rsid w:val="005A1831"/>
    <w:rsid w:val="005A2581"/>
    <w:rsid w:val="005A28BF"/>
    <w:rsid w:val="005A326F"/>
    <w:rsid w:val="005B002A"/>
    <w:rsid w:val="005C77BC"/>
    <w:rsid w:val="005D74E4"/>
    <w:rsid w:val="005E1636"/>
    <w:rsid w:val="005E26A9"/>
    <w:rsid w:val="005E4218"/>
    <w:rsid w:val="005F2FD1"/>
    <w:rsid w:val="005F683C"/>
    <w:rsid w:val="00605044"/>
    <w:rsid w:val="00607413"/>
    <w:rsid w:val="006104D8"/>
    <w:rsid w:val="006151A2"/>
    <w:rsid w:val="006153A2"/>
    <w:rsid w:val="00621C66"/>
    <w:rsid w:val="00621CA7"/>
    <w:rsid w:val="00624ED7"/>
    <w:rsid w:val="00626748"/>
    <w:rsid w:val="006363A7"/>
    <w:rsid w:val="00645CB2"/>
    <w:rsid w:val="006549FE"/>
    <w:rsid w:val="00661D29"/>
    <w:rsid w:val="00665871"/>
    <w:rsid w:val="00666122"/>
    <w:rsid w:val="00672623"/>
    <w:rsid w:val="00673E3F"/>
    <w:rsid w:val="00676D80"/>
    <w:rsid w:val="0068003F"/>
    <w:rsid w:val="00680D37"/>
    <w:rsid w:val="006823AC"/>
    <w:rsid w:val="00693868"/>
    <w:rsid w:val="006D204E"/>
    <w:rsid w:val="006E4715"/>
    <w:rsid w:val="006F6482"/>
    <w:rsid w:val="007052C5"/>
    <w:rsid w:val="00726510"/>
    <w:rsid w:val="007303CD"/>
    <w:rsid w:val="00731FE4"/>
    <w:rsid w:val="007342B8"/>
    <w:rsid w:val="00735B57"/>
    <w:rsid w:val="00744EC7"/>
    <w:rsid w:val="0075046E"/>
    <w:rsid w:val="00754C0E"/>
    <w:rsid w:val="007556AA"/>
    <w:rsid w:val="0076252D"/>
    <w:rsid w:val="00775722"/>
    <w:rsid w:val="007815EF"/>
    <w:rsid w:val="00781A69"/>
    <w:rsid w:val="0078685E"/>
    <w:rsid w:val="007901DB"/>
    <w:rsid w:val="00790E2C"/>
    <w:rsid w:val="007A4552"/>
    <w:rsid w:val="007A6036"/>
    <w:rsid w:val="007B131B"/>
    <w:rsid w:val="007C6998"/>
    <w:rsid w:val="007D2613"/>
    <w:rsid w:val="007D70B2"/>
    <w:rsid w:val="0080467F"/>
    <w:rsid w:val="0081257E"/>
    <w:rsid w:val="00857193"/>
    <w:rsid w:val="008609E8"/>
    <w:rsid w:val="00863D36"/>
    <w:rsid w:val="008713B9"/>
    <w:rsid w:val="00875852"/>
    <w:rsid w:val="00877F0C"/>
    <w:rsid w:val="008818D1"/>
    <w:rsid w:val="00890F44"/>
    <w:rsid w:val="0089785F"/>
    <w:rsid w:val="008C4A6E"/>
    <w:rsid w:val="008D0CA7"/>
    <w:rsid w:val="008D1E61"/>
    <w:rsid w:val="008E1528"/>
    <w:rsid w:val="008E40B8"/>
    <w:rsid w:val="008E5003"/>
    <w:rsid w:val="008E54C8"/>
    <w:rsid w:val="008F0F5B"/>
    <w:rsid w:val="0092297F"/>
    <w:rsid w:val="009246A4"/>
    <w:rsid w:val="00934B2A"/>
    <w:rsid w:val="0093545B"/>
    <w:rsid w:val="009402E0"/>
    <w:rsid w:val="009409B6"/>
    <w:rsid w:val="00946B66"/>
    <w:rsid w:val="00955D04"/>
    <w:rsid w:val="00961E87"/>
    <w:rsid w:val="00966EC5"/>
    <w:rsid w:val="00974D63"/>
    <w:rsid w:val="00980143"/>
    <w:rsid w:val="009842F1"/>
    <w:rsid w:val="009851A0"/>
    <w:rsid w:val="00986770"/>
    <w:rsid w:val="00995D15"/>
    <w:rsid w:val="009A42C2"/>
    <w:rsid w:val="009B7977"/>
    <w:rsid w:val="009C4B5D"/>
    <w:rsid w:val="009D3FEA"/>
    <w:rsid w:val="009D429C"/>
    <w:rsid w:val="009E03F5"/>
    <w:rsid w:val="009F2C0C"/>
    <w:rsid w:val="00A04453"/>
    <w:rsid w:val="00A166B7"/>
    <w:rsid w:val="00A21FF7"/>
    <w:rsid w:val="00A24B77"/>
    <w:rsid w:val="00A26219"/>
    <w:rsid w:val="00A40473"/>
    <w:rsid w:val="00A44338"/>
    <w:rsid w:val="00A50D3E"/>
    <w:rsid w:val="00A52715"/>
    <w:rsid w:val="00A54BC3"/>
    <w:rsid w:val="00A550C3"/>
    <w:rsid w:val="00A6631F"/>
    <w:rsid w:val="00A85D43"/>
    <w:rsid w:val="00A87667"/>
    <w:rsid w:val="00AA3F33"/>
    <w:rsid w:val="00AB5482"/>
    <w:rsid w:val="00AB59AD"/>
    <w:rsid w:val="00AC052C"/>
    <w:rsid w:val="00AF06CF"/>
    <w:rsid w:val="00AF588F"/>
    <w:rsid w:val="00B0282B"/>
    <w:rsid w:val="00B176F4"/>
    <w:rsid w:val="00B2123B"/>
    <w:rsid w:val="00B2590B"/>
    <w:rsid w:val="00B32BBB"/>
    <w:rsid w:val="00B364B6"/>
    <w:rsid w:val="00B369F0"/>
    <w:rsid w:val="00B403F7"/>
    <w:rsid w:val="00B424AE"/>
    <w:rsid w:val="00B45919"/>
    <w:rsid w:val="00B53761"/>
    <w:rsid w:val="00B566F5"/>
    <w:rsid w:val="00B57A8C"/>
    <w:rsid w:val="00B61031"/>
    <w:rsid w:val="00B62FD6"/>
    <w:rsid w:val="00B64ECA"/>
    <w:rsid w:val="00B66F33"/>
    <w:rsid w:val="00B6799A"/>
    <w:rsid w:val="00B938AB"/>
    <w:rsid w:val="00B97FEF"/>
    <w:rsid w:val="00BA261B"/>
    <w:rsid w:val="00BB5088"/>
    <w:rsid w:val="00BB64CF"/>
    <w:rsid w:val="00BC0817"/>
    <w:rsid w:val="00BC1875"/>
    <w:rsid w:val="00BD131D"/>
    <w:rsid w:val="00BD1F63"/>
    <w:rsid w:val="00BD7924"/>
    <w:rsid w:val="00C0093C"/>
    <w:rsid w:val="00C02301"/>
    <w:rsid w:val="00C02D7E"/>
    <w:rsid w:val="00C1184C"/>
    <w:rsid w:val="00C154FC"/>
    <w:rsid w:val="00C2031F"/>
    <w:rsid w:val="00C356F7"/>
    <w:rsid w:val="00C435CF"/>
    <w:rsid w:val="00C51B34"/>
    <w:rsid w:val="00C6097D"/>
    <w:rsid w:val="00C619BD"/>
    <w:rsid w:val="00C7038A"/>
    <w:rsid w:val="00C71F72"/>
    <w:rsid w:val="00C73670"/>
    <w:rsid w:val="00C76CEA"/>
    <w:rsid w:val="00C7744E"/>
    <w:rsid w:val="00C84CEC"/>
    <w:rsid w:val="00C8764C"/>
    <w:rsid w:val="00C96539"/>
    <w:rsid w:val="00C972A2"/>
    <w:rsid w:val="00CA6E20"/>
    <w:rsid w:val="00CB0166"/>
    <w:rsid w:val="00CB1B5D"/>
    <w:rsid w:val="00CB1C14"/>
    <w:rsid w:val="00CD057F"/>
    <w:rsid w:val="00CD5D1A"/>
    <w:rsid w:val="00CF220A"/>
    <w:rsid w:val="00D026CC"/>
    <w:rsid w:val="00D143F1"/>
    <w:rsid w:val="00D15CEF"/>
    <w:rsid w:val="00D2561D"/>
    <w:rsid w:val="00D30280"/>
    <w:rsid w:val="00D30853"/>
    <w:rsid w:val="00D352AE"/>
    <w:rsid w:val="00D54D01"/>
    <w:rsid w:val="00D56B62"/>
    <w:rsid w:val="00D56CC8"/>
    <w:rsid w:val="00D601D5"/>
    <w:rsid w:val="00D60CFA"/>
    <w:rsid w:val="00D64749"/>
    <w:rsid w:val="00D658CC"/>
    <w:rsid w:val="00D669AB"/>
    <w:rsid w:val="00D736F6"/>
    <w:rsid w:val="00D77F1D"/>
    <w:rsid w:val="00D83120"/>
    <w:rsid w:val="00D87648"/>
    <w:rsid w:val="00D904B4"/>
    <w:rsid w:val="00D90567"/>
    <w:rsid w:val="00DA5D33"/>
    <w:rsid w:val="00DA749F"/>
    <w:rsid w:val="00DB3379"/>
    <w:rsid w:val="00DC7152"/>
    <w:rsid w:val="00DE6B1A"/>
    <w:rsid w:val="00DF5B46"/>
    <w:rsid w:val="00E14B97"/>
    <w:rsid w:val="00E15BBC"/>
    <w:rsid w:val="00E34A22"/>
    <w:rsid w:val="00E3534A"/>
    <w:rsid w:val="00E51DA7"/>
    <w:rsid w:val="00E70CC3"/>
    <w:rsid w:val="00E73AAD"/>
    <w:rsid w:val="00E74933"/>
    <w:rsid w:val="00E8459A"/>
    <w:rsid w:val="00E86517"/>
    <w:rsid w:val="00E92EC8"/>
    <w:rsid w:val="00EA3C8C"/>
    <w:rsid w:val="00EB19F2"/>
    <w:rsid w:val="00EB2D1C"/>
    <w:rsid w:val="00EB2E08"/>
    <w:rsid w:val="00EB4628"/>
    <w:rsid w:val="00EC509A"/>
    <w:rsid w:val="00EC74E9"/>
    <w:rsid w:val="00F016BE"/>
    <w:rsid w:val="00F037BD"/>
    <w:rsid w:val="00F045E5"/>
    <w:rsid w:val="00F12845"/>
    <w:rsid w:val="00F32D4B"/>
    <w:rsid w:val="00F51740"/>
    <w:rsid w:val="00F5203C"/>
    <w:rsid w:val="00F530B0"/>
    <w:rsid w:val="00F64CE7"/>
    <w:rsid w:val="00F75D6D"/>
    <w:rsid w:val="00F810C5"/>
    <w:rsid w:val="00F85AD0"/>
    <w:rsid w:val="00F86AED"/>
    <w:rsid w:val="00F91B0D"/>
    <w:rsid w:val="00F94938"/>
    <w:rsid w:val="00F95A80"/>
    <w:rsid w:val="00F9626E"/>
    <w:rsid w:val="00F96FB2"/>
    <w:rsid w:val="00FB0BF6"/>
    <w:rsid w:val="00FB5A03"/>
    <w:rsid w:val="00FC294A"/>
    <w:rsid w:val="00FD0200"/>
    <w:rsid w:val="00FF4AC9"/>
    <w:rsid w:val="00FF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2B186"/>
  <w15:chartTrackingRefBased/>
  <w15:docId w15:val="{46F59F6D-88EE-44B2-A95A-900DC822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E14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E14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E14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E14B97"/>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E14B97"/>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E14B97"/>
    <w:pPr>
      <w:keepNext/>
      <w:keepLines/>
      <w:spacing w:before="40"/>
      <w:outlineLvl w:val="5"/>
    </w:pPr>
    <w:rPr>
      <w:rFonts w:asciiTheme="minorHAnsi" w:eastAsiaTheme="minorEastAsia" w:hAnsiTheme="minorHAnsi" w:cstheme="majorBidi"/>
      <w:b/>
      <w:bCs/>
      <w:color w:val="2F5496" w:themeColor="accent1" w:themeShade="BF"/>
    </w:rPr>
  </w:style>
  <w:style w:type="paragraph" w:styleId="Heading7">
    <w:name w:val="heading 7"/>
    <w:basedOn w:val="Normal"/>
    <w:next w:val="Normal"/>
    <w:link w:val="Heading7Char"/>
    <w:uiPriority w:val="9"/>
    <w:semiHidden/>
    <w:unhideWhenUsed/>
    <w:qFormat/>
    <w:rsid w:val="00E14B97"/>
    <w:pPr>
      <w:keepNext/>
      <w:keepLines/>
      <w:spacing w:before="4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E14B97"/>
    <w:pPr>
      <w:keepNext/>
      <w:keepLines/>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rsid w:val="00E14B97"/>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B97"/>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E14B97"/>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E14B97"/>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14B97"/>
    <w:rPr>
      <w:rFonts w:asciiTheme="minorHAnsi" w:eastAsiaTheme="minorEastAsia" w:hAnsiTheme="min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E14B97"/>
    <w:rPr>
      <w:rFonts w:asciiTheme="minorHAnsi" w:eastAsiaTheme="minorEastAsia" w:hAnsiTheme="minorHAnsi" w:cstheme="majorBidi"/>
      <w:color w:val="2F5496" w:themeColor="accent1" w:themeShade="BF"/>
      <w:sz w:val="24"/>
    </w:rPr>
  </w:style>
  <w:style w:type="character" w:customStyle="1" w:styleId="Heading6Char">
    <w:name w:val="Heading 6 Char"/>
    <w:basedOn w:val="DefaultParagraphFont"/>
    <w:link w:val="Heading6"/>
    <w:uiPriority w:val="9"/>
    <w:semiHidden/>
    <w:rsid w:val="00E14B97"/>
    <w:rPr>
      <w:rFonts w:asciiTheme="minorHAnsi" w:eastAsiaTheme="minorEastAsia" w:hAnsiTheme="minorHAnsi" w:cstheme="majorBidi"/>
      <w:b/>
      <w:bCs/>
      <w:color w:val="2F5496" w:themeColor="accent1" w:themeShade="BF"/>
    </w:rPr>
  </w:style>
  <w:style w:type="character" w:customStyle="1" w:styleId="Heading7Char">
    <w:name w:val="Heading 7 Char"/>
    <w:basedOn w:val="DefaultParagraphFont"/>
    <w:link w:val="Heading7"/>
    <w:uiPriority w:val="9"/>
    <w:semiHidden/>
    <w:rsid w:val="00E14B97"/>
    <w:rPr>
      <w:rFonts w:asciiTheme="minorHAnsi" w:eastAsiaTheme="minorEastAsia" w:hAnsiTheme="minorHAnsi" w:cstheme="majorBidi"/>
      <w:b/>
      <w:bCs/>
      <w:color w:val="595959" w:themeColor="text1" w:themeTint="A6"/>
    </w:rPr>
  </w:style>
  <w:style w:type="character" w:customStyle="1" w:styleId="Heading8Char">
    <w:name w:val="Heading 8 Char"/>
    <w:basedOn w:val="DefaultParagraphFont"/>
    <w:link w:val="Heading8"/>
    <w:uiPriority w:val="9"/>
    <w:semiHidden/>
    <w:rsid w:val="00E14B97"/>
    <w:rPr>
      <w:rFonts w:asciiTheme="minorHAnsi" w:eastAsiaTheme="minorEastAsia" w:hAnsiTheme="minorHAnsi" w:cstheme="majorBidi"/>
      <w:color w:val="595959" w:themeColor="text1" w:themeTint="A6"/>
    </w:rPr>
  </w:style>
  <w:style w:type="character" w:customStyle="1" w:styleId="Heading9Char">
    <w:name w:val="Heading 9 Char"/>
    <w:basedOn w:val="DefaultParagraphFont"/>
    <w:link w:val="Heading9"/>
    <w:uiPriority w:val="9"/>
    <w:semiHidden/>
    <w:rsid w:val="00E14B97"/>
    <w:rPr>
      <w:rFonts w:asciiTheme="minorHAnsi" w:eastAsiaTheme="majorEastAsia" w:hAnsiTheme="minorHAnsi" w:cstheme="majorBidi"/>
      <w:color w:val="595959" w:themeColor="text1" w:themeTint="A6"/>
    </w:rPr>
  </w:style>
  <w:style w:type="paragraph" w:styleId="Title">
    <w:name w:val="Title"/>
    <w:basedOn w:val="Normal"/>
    <w:next w:val="Normal"/>
    <w:link w:val="TitleChar"/>
    <w:uiPriority w:val="10"/>
    <w:qFormat/>
    <w:rsid w:val="00E14B97"/>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B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B97"/>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E14B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4B97"/>
    <w:rPr>
      <w:i/>
      <w:iCs/>
      <w:color w:val="404040" w:themeColor="text1" w:themeTint="BF"/>
    </w:rPr>
  </w:style>
  <w:style w:type="paragraph" w:styleId="ListParagraph">
    <w:name w:val="List Paragraph"/>
    <w:basedOn w:val="Normal"/>
    <w:uiPriority w:val="34"/>
    <w:qFormat/>
    <w:rsid w:val="00E14B97"/>
    <w:pPr>
      <w:ind w:left="720"/>
      <w:contextualSpacing/>
    </w:pPr>
  </w:style>
  <w:style w:type="character" w:styleId="IntenseEmphasis">
    <w:name w:val="Intense Emphasis"/>
    <w:basedOn w:val="DefaultParagraphFont"/>
    <w:uiPriority w:val="21"/>
    <w:qFormat/>
    <w:rsid w:val="00E14B97"/>
    <w:rPr>
      <w:i/>
      <w:iCs/>
      <w:color w:val="2F5496" w:themeColor="accent1" w:themeShade="BF"/>
    </w:rPr>
  </w:style>
  <w:style w:type="paragraph" w:styleId="IntenseQuote">
    <w:name w:val="Intense Quote"/>
    <w:basedOn w:val="Normal"/>
    <w:next w:val="Normal"/>
    <w:link w:val="IntenseQuoteChar"/>
    <w:uiPriority w:val="30"/>
    <w:qFormat/>
    <w:rsid w:val="00E14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4B97"/>
    <w:rPr>
      <w:i/>
      <w:iCs/>
      <w:color w:val="2F5496" w:themeColor="accent1" w:themeShade="BF"/>
    </w:rPr>
  </w:style>
  <w:style w:type="character" w:styleId="IntenseReference">
    <w:name w:val="Intense Reference"/>
    <w:basedOn w:val="DefaultParagraphFont"/>
    <w:uiPriority w:val="32"/>
    <w:qFormat/>
    <w:rsid w:val="00E14B97"/>
    <w:rPr>
      <w:b/>
      <w:bCs/>
      <w:smallCaps/>
      <w:color w:val="2F5496" w:themeColor="accent1" w:themeShade="BF"/>
      <w:spacing w:val="5"/>
    </w:rPr>
  </w:style>
  <w:style w:type="table" w:styleId="TableGrid">
    <w:name w:val="Table Grid"/>
    <w:basedOn w:val="TableNormal"/>
    <w:uiPriority w:val="39"/>
    <w:rsid w:val="00924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279F"/>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0279F"/>
    <w:rPr>
      <w:sz w:val="18"/>
      <w:szCs w:val="18"/>
    </w:rPr>
  </w:style>
  <w:style w:type="paragraph" w:styleId="Footer">
    <w:name w:val="footer"/>
    <w:basedOn w:val="Normal"/>
    <w:link w:val="FooterChar"/>
    <w:uiPriority w:val="99"/>
    <w:unhideWhenUsed/>
    <w:rsid w:val="000027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0279F"/>
    <w:rPr>
      <w:sz w:val="18"/>
      <w:szCs w:val="18"/>
    </w:rPr>
  </w:style>
  <w:style w:type="paragraph" w:styleId="Revision">
    <w:name w:val="Revision"/>
    <w:hidden/>
    <w:uiPriority w:val="99"/>
    <w:semiHidden/>
    <w:rsid w:val="00863D36"/>
  </w:style>
  <w:style w:type="character" w:styleId="Hyperlink">
    <w:name w:val="Hyperlink"/>
    <w:basedOn w:val="DefaultParagraphFont"/>
    <w:uiPriority w:val="99"/>
    <w:unhideWhenUsed/>
    <w:rsid w:val="00C02301"/>
    <w:rPr>
      <w:color w:val="0563C1" w:themeColor="hyperlink"/>
      <w:u w:val="single"/>
    </w:rPr>
  </w:style>
  <w:style w:type="character" w:styleId="UnresolvedMention">
    <w:name w:val="Unresolved Mention"/>
    <w:basedOn w:val="DefaultParagraphFont"/>
    <w:uiPriority w:val="99"/>
    <w:semiHidden/>
    <w:unhideWhenUsed/>
    <w:rsid w:val="00C02301"/>
    <w:rPr>
      <w:color w:val="605E5C"/>
      <w:shd w:val="clear" w:color="auto" w:fill="E1DFDD"/>
    </w:rPr>
  </w:style>
  <w:style w:type="character" w:styleId="Strong">
    <w:name w:val="Strong"/>
    <w:basedOn w:val="DefaultParagraphFont"/>
    <w:uiPriority w:val="22"/>
    <w:qFormat/>
    <w:rsid w:val="00B45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E758-AFB4-4E4F-BB95-88F27BA8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Yueping Qiu - Leadvisor Law</dc:creator>
  <cp:keywords/>
  <dc:description/>
  <cp:lastModifiedBy>Alan Lin</cp:lastModifiedBy>
  <cp:revision>3</cp:revision>
  <dcterms:created xsi:type="dcterms:W3CDTF">2025-09-12T03:11:00Z</dcterms:created>
  <dcterms:modified xsi:type="dcterms:W3CDTF">2025-09-12T03:11:00Z</dcterms:modified>
</cp:coreProperties>
</file>